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 争 性 磋 商 文 件</w:t>
      </w:r>
    </w:p>
    <w:p>
      <w:pPr>
        <w:pStyle w:val="null5"/>
        <w:jc w:val="center"/>
        <w:outlineLvl w:val="0"/>
      </w:pPr>
      <w:r>
        <w:rPr>
          <w:rFonts w:ascii="仿宋_GB2312" w:hAnsi="仿宋_GB2312" w:cs="仿宋_GB2312" w:eastAsia="仿宋_GB2312"/>
          <w:sz w:val="48"/>
          <w:b/>
        </w:rPr>
        <w:t>（工程类）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山东石油化工学院教学院、实验室等维修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SDGP370000000202602003982</w:t>
      </w:r>
    </w:p>
    <w:p>
      <w:pPr>
        <w:pStyle w:val="null5"/>
        <w:jc w:val="left"/>
        <w:outlineLvl w:val="2"/>
      </w:pPr>
      <w:r>
        <w:rPr>
          <w:rFonts w:ascii="仿宋_GB2312" w:hAnsi="仿宋_GB2312" w:cs="仿宋_GB2312" w:eastAsia="仿宋_GB2312"/>
          <w:sz w:val="28"/>
          <w:b/>
        </w:rPr>
        <w:t>山东石油化工学院</w:t>
      </w:r>
    </w:p>
    <w:p>
      <w:pPr>
        <w:pStyle w:val="null5"/>
        <w:jc w:val="center"/>
        <w:outlineLvl w:val="2"/>
      </w:pPr>
      <w:r>
        <w:rPr>
          <w:rFonts w:ascii="仿宋_GB2312" w:hAnsi="仿宋_GB2312" w:cs="仿宋_GB2312" w:eastAsia="仿宋_GB2312"/>
          <w:sz w:val="28"/>
          <w:b/>
        </w:rPr>
        <w:t>山东华标招标有限公司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2026年06月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both"/>
      </w:pPr>
      <w:r>
        <w:rPr>
          <w:rFonts w:ascii="仿宋_GB2312" w:hAnsi="仿宋_GB2312" w:cs="仿宋_GB2312" w:eastAsia="仿宋_GB2312"/>
        </w:rPr>
        <w:t>山东华标招标有限公司</w:t>
      </w:r>
      <w:r>
        <w:rPr>
          <w:rFonts w:ascii="仿宋_GB2312" w:hAnsi="仿宋_GB2312" w:cs="仿宋_GB2312" w:eastAsia="仿宋_GB2312"/>
        </w:rPr>
        <w:t>（以下简称“代理机构”）受</w:t>
      </w:r>
      <w:r>
        <w:rPr>
          <w:rFonts w:ascii="仿宋_GB2312" w:hAnsi="仿宋_GB2312" w:cs="仿宋_GB2312" w:eastAsia="仿宋_GB2312"/>
        </w:rPr>
        <w:t>山东石油化工学院</w:t>
      </w:r>
      <w:r>
        <w:rPr>
          <w:rFonts w:ascii="仿宋_GB2312" w:hAnsi="仿宋_GB2312" w:cs="仿宋_GB2312" w:eastAsia="仿宋_GB2312"/>
        </w:rPr>
        <w:t>以下简称“采购人”)委托，拟对</w:t>
      </w:r>
      <w:r>
        <w:rPr>
          <w:rFonts w:ascii="仿宋_GB2312" w:hAnsi="仿宋_GB2312" w:cs="仿宋_GB2312" w:eastAsia="仿宋_GB2312"/>
        </w:rPr>
        <w:t>山东石油化工学院教学院、实验室等维修</w:t>
      </w:r>
      <w:r>
        <w:rPr>
          <w:rFonts w:ascii="仿宋_GB2312" w:hAnsi="仿宋_GB2312" w:cs="仿宋_GB2312" w:eastAsia="仿宋_GB2312"/>
        </w:rPr>
        <w:t>采用竞争性磋商方式进行采购，兹邀请符合资格条件的供应商参加磋商。本项目为山东省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w:t>
      </w:r>
      <w:r>
        <w:rPr>
          <w:rFonts w:ascii="仿宋_GB2312" w:hAnsi="仿宋_GB2312" w:cs="仿宋_GB2312" w:eastAsia="仿宋_GB2312"/>
          <w:sz w:val="28"/>
          <w:b/>
        </w:rPr>
        <w:t>SDGP370000000202602003982</w:t>
      </w:r>
    </w:p>
    <w:p>
      <w:pPr>
        <w:pStyle w:val="null5"/>
        <w:ind w:firstLine="480"/>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w:t>
      </w:r>
      <w:r>
        <w:rPr>
          <w:rFonts w:ascii="仿宋_GB2312" w:hAnsi="仿宋_GB2312" w:cs="仿宋_GB2312" w:eastAsia="仿宋_GB2312"/>
          <w:sz w:val="28"/>
          <w:b/>
        </w:rPr>
        <w:t>山东石油化工学院教学院、实验室等维修</w:t>
      </w:r>
    </w:p>
    <w:p>
      <w:pPr>
        <w:pStyle w:val="null5"/>
        <w:ind w:firstLine="480"/>
        <w:jc w:val="left"/>
        <w:outlineLvl w:val="2"/>
      </w:pPr>
      <w:r>
        <w:rPr>
          <w:rFonts w:ascii="仿宋_GB2312" w:hAnsi="仿宋_GB2312" w:cs="仿宋_GB2312" w:eastAsia="仿宋_GB2312"/>
          <w:sz w:val="28"/>
          <w:b/>
        </w:rPr>
        <w:t>1.3.磋商项目简介</w:t>
      </w:r>
    </w:p>
    <w:p>
      <w:pPr>
        <w:pStyle w:val="null5"/>
        <w:ind w:firstLine="480"/>
        <w:jc w:val="left"/>
      </w:pPr>
      <w:r>
        <w:rPr>
          <w:rFonts w:ascii="仿宋_GB2312" w:hAnsi="仿宋_GB2312" w:cs="仿宋_GB2312" w:eastAsia="仿宋_GB2312"/>
        </w:rPr>
        <w:t>本项目内容主要包括经管学院实训室部分房间，经管楼部分房间维修改造；化工学院部分房间维修改造；马克思主义学院部分房间维修改造等内容；其他公共区域等维修。具体内容详见工程量清单及图纸。</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具有独立承担民事责任的能力：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pPr>
        <w:pStyle w:val="null5"/>
        <w:jc w:val="left"/>
      </w:pPr>
      <w:r>
        <w:rPr>
          <w:rFonts w:ascii="仿宋_GB2312" w:hAnsi="仿宋_GB2312" w:cs="仿宋_GB2312" w:eastAsia="仿宋_GB2312"/>
        </w:rPr>
        <w:t>2、供应商具有良好的商业信誉和健全的财务会计制度：提供2024年度或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pPr>
        <w:pStyle w:val="null5"/>
        <w:jc w:val="left"/>
      </w:pPr>
      <w:r>
        <w:rPr>
          <w:rFonts w:ascii="仿宋_GB2312" w:hAnsi="仿宋_GB2312" w:cs="仿宋_GB2312" w:eastAsia="仿宋_GB2312"/>
        </w:rPr>
        <w:t>3、供应商具有履行合同所必需的设备和专业技术能力：具有履行政府采购合同所必需的设备和专业技术能力声明函。（提供原件扫描件或复印件加盖公章）</w:t>
      </w:r>
    </w:p>
    <w:p>
      <w:pPr>
        <w:pStyle w:val="null5"/>
        <w:jc w:val="left"/>
      </w:pPr>
      <w:r>
        <w:rPr>
          <w:rFonts w:ascii="仿宋_GB2312" w:hAnsi="仿宋_GB2312" w:cs="仿宋_GB2312" w:eastAsia="仿宋_GB2312"/>
        </w:rPr>
        <w:t>4、供应商具有依法缴纳税收和社会保障资金的良好记录：（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pPr>
        <w:pStyle w:val="null5"/>
        <w:jc w:val="left"/>
      </w:pPr>
      <w:r>
        <w:rPr>
          <w:rFonts w:ascii="仿宋_GB2312" w:hAnsi="仿宋_GB2312" w:cs="仿宋_GB2312" w:eastAsia="仿宋_GB2312"/>
        </w:rPr>
        <w:t>5、供应商参加政府采购活动前三年内，在经营活动中没有重大违法记录：参加本次政府采购活动前近三年内在经营活动中没有重大违法记录的书面声明函。（提供原件扫描件或复印件加盖公章）</w:t>
      </w:r>
    </w:p>
    <w:p>
      <w:pPr>
        <w:pStyle w:val="null5"/>
        <w:jc w:val="left"/>
      </w:pPr>
      <w:r>
        <w:rPr>
          <w:rFonts w:ascii="仿宋_GB2312" w:hAnsi="仿宋_GB2312" w:cs="仿宋_GB2312" w:eastAsia="仿宋_GB2312"/>
        </w:rPr>
        <w:t>6、供应商无不良信用记录：未被列入信用中国网站（www.creditchina.gov.cn）、中国政府采购网（www.ccgp.gov.cn）渠道信用记录失信被执行人、重大税收违法案件当事人名单、政府采购严重违法失信行为记录名单。本项由采购代理机构现场核查。</w:t>
      </w:r>
    </w:p>
    <w:p>
      <w:pPr>
        <w:pStyle w:val="null5"/>
        <w:ind w:firstLine="480"/>
        <w:jc w:val="both"/>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both"/>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企业资质要求：具有有效的建筑工程施工总承包三级（含）以上资质证书和安全生产许可证书，同时提供山东省住房城乡建设服务监管与信用信息综合平台（原山东省建筑市场监管与诚信信息一体化平台）资质信息验证通过（须体现供应商基本信息和资质信息）的网页截图。（提供原件扫描件或复印件加盖公章）</w:t>
      </w:r>
    </w:p>
    <w:p>
      <w:pPr>
        <w:pStyle w:val="null5"/>
        <w:jc w:val="left"/>
      </w:pPr>
      <w:r>
        <w:rPr>
          <w:rFonts w:ascii="仿宋_GB2312" w:hAnsi="仿宋_GB2312" w:cs="仿宋_GB2312" w:eastAsia="仿宋_GB2312"/>
        </w:rPr>
        <w:t>2、项目经理要求：拟派项目经理具有建筑工程专业二级（含）以上建造师注册证书和有效的安全生产考核合格证书（B证），提供近一年来连续缴纳六个月的社会养老保险证明，出具项目经理无在建项目承诺书。有在建项目被更换的项目经理六个月内不得参与本项目投标。注：①社会养老保险证明是指提供能体现供应商单位名称和个人姓名同时加盖供应商公章的网上打印件，或能体现供应商单位名称和个人姓名同时加盖注册地社会劳动保险管理机构公章的社会养老保险缴纳证明，或能体现供应商单位名称和个人姓名同时加盖注册地社会劳动保险管理机构公章的花名册及缴费凭证。②若供应商拟投报的项目人员保险缴纳隶属上级行政事业主管部门的，由上级行政事业主管部门出具相关证明且附相应社会养老保险证明材料。③新成立的公司或公司资质发生合并的供应商根据实际情况提供相应的社会养老保险证明材料。④社会养老保险证明须为近一年来连续缴纳六个月及以上的社会养老保险证明材料。（提供原件扫描件或复印件加盖公章）</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一、供应商参与本项目电子化采购活动的范围主要包括：获取竞争性磋商文件，编制、签章、加密并提交响应文件，参加开启、解密响应文件和电子评审等。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二、供应商应当使用数字证书互认范围的数字证书和电子印章，参加本项目电子化采购活动；已按规定办理数字证书和电子印章的供应商，按照采购平台操作规范进行身份信息绑定、权限设置和系统操作。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1.7.磋商文件获取时间、方式及地址</w:t>
      </w:r>
    </w:p>
    <w:p>
      <w:pPr>
        <w:pStyle w:val="null5"/>
        <w:ind w:firstLine="480"/>
        <w:jc w:val="both"/>
      </w:pPr>
      <w:r>
        <w:rPr>
          <w:rFonts w:ascii="仿宋_GB2312" w:hAnsi="仿宋_GB2312" w:cs="仿宋_GB2312" w:eastAsia="仿宋_GB2312"/>
        </w:rPr>
        <w:t>一、磋商文件获取时间：详见采购公告（或邀请书）。</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both"/>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1.8.提交响应文件截止时间及开启时间、方式、地点</w:t>
      </w:r>
    </w:p>
    <w:p>
      <w:pPr>
        <w:pStyle w:val="null5"/>
        <w:ind w:firstLine="480"/>
        <w:jc w:val="both"/>
      </w:pPr>
      <w:r>
        <w:rPr>
          <w:rFonts w:ascii="仿宋_GB2312" w:hAnsi="仿宋_GB2312" w:cs="仿宋_GB2312" w:eastAsia="仿宋_GB2312"/>
        </w:rPr>
        <w:t>一、提交响应文件截止时间及开启时间：详见采购公告（或邀请书）。</w:t>
      </w:r>
    </w:p>
    <w:p>
      <w:pPr>
        <w:pStyle w:val="null5"/>
        <w:ind w:firstLine="480"/>
        <w:jc w:val="both"/>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5"/>
        <w:ind w:firstLine="480"/>
        <w:jc w:val="both"/>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 xml:space="preserve">采购人： </w:t>
      </w:r>
      <w:r>
        <w:rPr>
          <w:rFonts w:ascii="仿宋_GB2312" w:hAnsi="仿宋_GB2312" w:cs="仿宋_GB2312" w:eastAsia="仿宋_GB2312"/>
        </w:rPr>
        <w:t>山东石油化工学院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东营市东营区北二路500号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257061</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山东石油化工学院</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0546-7396500</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山东华标招标有限公司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东营市海通创客中心1号楼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257100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印女士</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0546-8036663</w:t>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 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采购包1：471,446.11元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如接受联合体，需符合以下要求：</w:t>
            </w:r>
          </w:p>
          <w:p>
            <w:pPr>
              <w:pStyle w:val="null5"/>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质量保证金</w:t>
            </w:r>
          </w:p>
        </w:tc>
        <w:tc>
          <w:tcPr>
            <w:tcW w:type="dxa" w:w="5814"/>
          </w:tcPr>
          <w:p>
            <w:pPr>
              <w:pStyle w:val="null5"/>
              <w:jc w:val="left"/>
            </w:pPr>
            <w:r>
              <w:rPr>
                <w:rFonts w:ascii="仿宋_GB2312" w:hAnsi="仿宋_GB2312" w:cs="仿宋_GB2312" w:eastAsia="仿宋_GB2312"/>
              </w:rPr>
              <w:t>采购包1：不收取</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90日历天</w:t>
            </w:r>
          </w:p>
          <w:p>
            <w:pPr>
              <w:pStyle w:val="null5"/>
              <w:jc w:val="left"/>
            </w:pPr>
            <w:r>
              <w:rPr>
                <w:rFonts w:ascii="仿宋_GB2312" w:hAnsi="仿宋_GB2312" w:cs="仿宋_GB2312" w:eastAsia="仿宋_GB2312"/>
              </w:rPr>
              <w:t xml:space="preserve"> 响应文件未明确响应有效期或者少于前述规定天数的，其响应文件按无效处理。</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代理服务费收费标准：参照国家发展计划委员会计价格[2002]1980号文和国家发改委发改办价格[2003]857号文的规定下浮40%。</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一、交易系统发生故障（包括感染病毒、应用或数据库出错）而无法正常使用的；</w:t>
            </w:r>
          </w:p>
          <w:p>
            <w:pPr>
              <w:pStyle w:val="null5"/>
              <w:jc w:val="left"/>
            </w:pPr>
            <w:r>
              <w:rPr>
                <w:rFonts w:ascii="仿宋_GB2312" w:hAnsi="仿宋_GB2312" w:cs="仿宋_GB2312" w:eastAsia="仿宋_GB2312"/>
              </w:rPr>
              <w:t>二、因组织场所停电、断网等原因，导致采购活动无法继续通过交易系统实施的；</w:t>
            </w:r>
          </w:p>
          <w:p>
            <w:pPr>
              <w:pStyle w:val="null5"/>
              <w:jc w:val="left"/>
            </w:pPr>
            <w:r>
              <w:rPr>
                <w:rFonts w:ascii="仿宋_GB2312" w:hAnsi="仿宋_GB2312" w:cs="仿宋_GB2312" w:eastAsia="仿宋_GB2312"/>
              </w:rPr>
              <w:t>三、其他无法保证电子化交易的公平、公正和安全的情况。出现上述的情形，不影响采购公平、公正的，采购人或者代理机构可以待上述情形消除后继续组织采购活动；影响或者可能影响采购公平、公正的，采购人或者代理机构应当依法终止采购活动。注：</w:t>
            </w:r>
          </w:p>
          <w:p>
            <w:pPr>
              <w:pStyle w:val="null5"/>
              <w:jc w:val="left"/>
            </w:pPr>
            <w:r>
              <w:rPr>
                <w:rFonts w:ascii="仿宋_GB2312" w:hAnsi="仿宋_GB2312" w:cs="仿宋_GB2312" w:eastAsia="仿宋_GB2312"/>
              </w:rPr>
              <w:t>1.平台系统故障认定以“中国山东政府采购网”发布的系统运维通知内容为准；</w:t>
            </w:r>
          </w:p>
          <w:p>
            <w:pPr>
              <w:pStyle w:val="null5"/>
              <w:jc w:val="left"/>
            </w:pPr>
            <w:r>
              <w:rPr>
                <w:rFonts w:ascii="仿宋_GB2312" w:hAnsi="仿宋_GB2312" w:cs="仿宋_GB2312" w:eastAsia="仿宋_GB2312"/>
              </w:rPr>
              <w:t>2.故障处理详见第二章规定。</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一、本磋商文件仅适用于本次竞争性磋商采购项目。</w:t>
      </w:r>
    </w:p>
    <w:p>
      <w:pPr>
        <w:pStyle w:val="null5"/>
        <w:ind w:firstLine="480"/>
        <w:jc w:val="both"/>
      </w:pPr>
      <w:r>
        <w:rPr>
          <w:rFonts w:ascii="仿宋_GB2312" w:hAnsi="仿宋_GB2312" w:cs="仿宋_GB2312" w:eastAsia="仿宋_GB2312"/>
        </w:rPr>
        <w:t xml:space="preserve">二、本磋商文件由 </w:t>
      </w:r>
      <w:r>
        <w:rPr>
          <w:rFonts w:ascii="仿宋_GB2312" w:hAnsi="仿宋_GB2312" w:cs="仿宋_GB2312" w:eastAsia="仿宋_GB2312"/>
        </w:rPr>
        <w:t>山东石油化工学院</w:t>
      </w:r>
      <w:r>
        <w:rPr>
          <w:rFonts w:ascii="仿宋_GB2312" w:hAnsi="仿宋_GB2312" w:cs="仿宋_GB2312" w:eastAsia="仿宋_GB2312"/>
        </w:rPr>
        <w:t xml:space="preserve"> 和 </w:t>
      </w:r>
      <w:r>
        <w:rPr>
          <w:rFonts w:ascii="仿宋_GB2312" w:hAnsi="仿宋_GB2312" w:cs="仿宋_GB2312" w:eastAsia="仿宋_GB2312"/>
        </w:rPr>
        <w:t>山东华标招标有限公司</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山东石油化工学院</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山东华标招标有限公司</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both"/>
      </w:pPr>
      <w:r>
        <w:rPr>
          <w:rFonts w:ascii="仿宋_GB2312" w:hAnsi="仿宋_GB2312" w:cs="仿宋_GB2312" w:eastAsia="仿宋_GB2312"/>
        </w:rPr>
        <w:t>五、“电子评审”是指磋商小组开展资格审查、符合性审查、谈判、推荐成交候选供应商、出具磋商报告等活动。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both"/>
      </w:pPr>
      <w:r>
        <w:rPr>
          <w:rFonts w:ascii="仿宋_GB2312" w:hAnsi="仿宋_GB2312" w:cs="仿宋_GB2312" w:eastAsia="仿宋_GB2312"/>
        </w:rPr>
        <w:t>2.3.1.磋商文件的构成</w:t>
      </w:r>
    </w:p>
    <w:p>
      <w:pPr>
        <w:pStyle w:val="null5"/>
        <w:ind w:firstLine="480"/>
        <w:jc w:val="both"/>
      </w:pPr>
      <w:r>
        <w:rPr>
          <w:rFonts w:ascii="仿宋_GB2312" w:hAnsi="仿宋_GB2312" w:cs="仿宋_GB2312" w:eastAsia="仿宋_GB2312"/>
        </w:rPr>
        <w:t>磋商文件由采购人、代理机构编制，是项目采购活动开展的基本依据，主要包括以下内容：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一、竞争性磋商邀请；</w:t>
      </w:r>
    </w:p>
    <w:p>
      <w:pPr>
        <w:pStyle w:val="null5"/>
        <w:ind w:firstLine="480"/>
        <w:jc w:val="both"/>
      </w:pPr>
      <w:r>
        <w:rPr>
          <w:rFonts w:ascii="仿宋_GB2312" w:hAnsi="仿宋_GB2312" w:cs="仿宋_GB2312" w:eastAsia="仿宋_GB2312"/>
        </w:rPr>
        <w:t>二、供应商须知；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四、磋商过程中可实质性变动的内容；</w:t>
      </w:r>
    </w:p>
    <w:p>
      <w:pPr>
        <w:pStyle w:val="null5"/>
        <w:ind w:firstLine="480"/>
        <w:jc w:val="both"/>
      </w:pPr>
      <w:r>
        <w:rPr>
          <w:rFonts w:ascii="仿宋_GB2312" w:hAnsi="仿宋_GB2312" w:cs="仿宋_GB2312" w:eastAsia="仿宋_GB2312"/>
        </w:rPr>
        <w:t>五、评审办法；</w:t>
      </w:r>
    </w:p>
    <w:p>
      <w:pPr>
        <w:pStyle w:val="null5"/>
        <w:ind w:firstLine="480"/>
        <w:jc w:val="both"/>
      </w:pPr>
      <w:r>
        <w:rPr>
          <w:rFonts w:ascii="仿宋_GB2312" w:hAnsi="仿宋_GB2312" w:cs="仿宋_GB2312" w:eastAsia="仿宋_GB2312"/>
        </w:rPr>
        <w:t>六、响应文件格式；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2.3.2.磋商文件的澄清或者修改</w:t>
      </w:r>
    </w:p>
    <w:p>
      <w:pPr>
        <w:pStyle w:val="null5"/>
        <w:ind w:firstLine="480"/>
        <w:jc w:val="both"/>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both"/>
      </w:pPr>
      <w:r>
        <w:rPr>
          <w:rFonts w:ascii="仿宋_GB2312" w:hAnsi="仿宋_GB2312" w:cs="仿宋_GB2312" w:eastAsia="仿宋_GB2312"/>
        </w:rPr>
        <w:t>{{通用-磋商文件澄清或修改固定文字}}</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both"/>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谈判小组将视其为无效材料，但以下情形除外：</w:t>
      </w:r>
    </w:p>
    <w:p>
      <w:pPr>
        <w:pStyle w:val="null5"/>
        <w:ind w:firstLine="480"/>
        <w:jc w:val="both"/>
      </w:pPr>
      <w:r>
        <w:rPr>
          <w:rFonts w:ascii="仿宋_GB2312" w:hAnsi="仿宋_GB2312" w:cs="仿宋_GB2312" w:eastAsia="仿宋_GB2312"/>
        </w:rPr>
        <w:t>（一）供应商的法定代表人为外籍人士的，法定代表人的签字和护照；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三、如因未翻译而造成对供应商的不利后果，由供应商承担。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除磋商文件中另有规定外，本项目均采用国家法定的计量单位。</w:t>
      </w:r>
    </w:p>
    <w:p>
      <w:pPr>
        <w:pStyle w:val="null5"/>
        <w:ind w:firstLine="480"/>
        <w:jc w:val="both"/>
      </w:pPr>
      <w:r>
        <w:rPr>
          <w:rFonts w:ascii="仿宋_GB2312" w:hAnsi="仿宋_GB2312" w:cs="仿宋_GB2312" w:eastAsia="仿宋_GB2312"/>
        </w:rPr>
        <w:t>2.4.3.响应货币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both"/>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一、供应商应认真核实本项目的工程量清单。</w:t>
      </w:r>
    </w:p>
    <w:p>
      <w:pPr>
        <w:pStyle w:val="null5"/>
        <w:ind w:firstLine="480"/>
        <w:jc w:val="both"/>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5"/>
        <w:ind w:firstLine="480"/>
        <w:jc w:val="both"/>
      </w:pPr>
      <w:r>
        <w:rPr>
          <w:rFonts w:ascii="仿宋_GB2312" w:hAnsi="仿宋_GB2312" w:cs="仿宋_GB2312" w:eastAsia="仿宋_GB2312"/>
        </w:rPr>
        <w:t>三、按照磋商文件第五章磋商办法规定进行价格修正的，修正后的报价经供应商加盖电子印章确认后产生约束力。未在规定时间内确认的，视同供应商不确认，作无效响应处理。</w:t>
      </w:r>
    </w:p>
    <w:p>
      <w:pPr>
        <w:pStyle w:val="null5"/>
        <w:ind w:firstLine="480"/>
        <w:jc w:val="both"/>
      </w:pPr>
      <w:r>
        <w:rPr>
          <w:rFonts w:ascii="仿宋_GB2312" w:hAnsi="仿宋_GB2312" w:cs="仿宋_GB2312" w:eastAsia="仿宋_GB2312"/>
        </w:rPr>
        <w:t>2.4.6.响应文件的编制、签章和加密</w:t>
      </w:r>
    </w:p>
    <w:p>
      <w:pPr>
        <w:pStyle w:val="null5"/>
        <w:ind w:firstLine="480"/>
        <w:jc w:val="both"/>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both"/>
      </w:pPr>
      <w:r>
        <w:rPr>
          <w:rFonts w:ascii="仿宋_GB2312" w:hAnsi="仿宋_GB2312" w:cs="仿宋_GB2312" w:eastAsia="仿宋_GB2312"/>
        </w:rPr>
        <w:t>二、供应商使用投标（响应）客户端编制响应文件，完成响应文件编制、加盖电子印章和加密。</w:t>
      </w:r>
    </w:p>
    <w:p>
      <w:pPr>
        <w:pStyle w:val="null5"/>
        <w:ind w:firstLine="480"/>
        <w:jc w:val="both"/>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both"/>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both"/>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both"/>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both"/>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both"/>
      </w:pPr>
      <w:r>
        <w:rPr>
          <w:rFonts w:ascii="仿宋_GB2312" w:hAnsi="仿宋_GB2312" w:cs="仿宋_GB2312" w:eastAsia="仿宋_GB2312"/>
        </w:rPr>
        <w:t>2.5.1.开启</w:t>
      </w:r>
    </w:p>
    <w:p>
      <w:pPr>
        <w:pStyle w:val="null5"/>
        <w:ind w:firstLine="480"/>
        <w:jc w:val="both"/>
      </w:pPr>
      <w:r>
        <w:rPr>
          <w:rFonts w:ascii="仿宋_GB2312" w:hAnsi="仿宋_GB2312" w:cs="仿宋_GB2312" w:eastAsia="仿宋_GB2312"/>
        </w:rPr>
        <w:t>2.5.1.1.开启程序</w:t>
      </w:r>
    </w:p>
    <w:p>
      <w:pPr>
        <w:pStyle w:val="null5"/>
        <w:ind w:firstLine="480"/>
        <w:jc w:val="both"/>
      </w:pPr>
      <w:r>
        <w:rPr>
          <w:rFonts w:ascii="仿宋_GB2312" w:hAnsi="仿宋_GB2312" w:cs="仿宋_GB2312" w:eastAsia="仿宋_GB2312"/>
        </w:rPr>
        <w:t>提交响应文件截止时间后，通过交易系统“开标/开启大厅”网上开启解密响应文件。</w:t>
      </w:r>
    </w:p>
    <w:p>
      <w:pPr>
        <w:pStyle w:val="null5"/>
        <w:ind w:firstLine="480"/>
        <w:jc w:val="both"/>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 定的解密时间内，使用加密响应文件的数字证书进行响应文件解密。除因平台系统故障导致供应商未按时完成解密外，供应商未在规定的 解密时间内完成解密的，按无效响应处理。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 3 家的，采购人或者代理机构应当终止采购活动，发布项目终止公告并说明原因，重新开展采购活动。</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both"/>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2.5.3.评审</w:t>
      </w:r>
    </w:p>
    <w:p>
      <w:pPr>
        <w:pStyle w:val="null5"/>
        <w:ind w:firstLine="480"/>
        <w:jc w:val="both"/>
      </w:pPr>
      <w:r>
        <w:rPr>
          <w:rFonts w:ascii="仿宋_GB2312" w:hAnsi="仿宋_GB2312" w:cs="仿宋_GB2312" w:eastAsia="仿宋_GB2312"/>
        </w:rPr>
        <w:t>详见磋商文件第五章。</w:t>
      </w:r>
    </w:p>
    <w:p>
      <w:pPr>
        <w:pStyle w:val="null5"/>
        <w:ind w:firstLine="480"/>
        <w:jc w:val="both"/>
      </w:pPr>
      <w:r>
        <w:rPr>
          <w:rFonts w:ascii="仿宋_GB2312" w:hAnsi="仿宋_GB2312" w:cs="仿宋_GB2312" w:eastAsia="仿宋_GB2312"/>
        </w:rPr>
        <w:t>2.5.4.成交通知书</w:t>
      </w:r>
    </w:p>
    <w:p>
      <w:pPr>
        <w:pStyle w:val="null5"/>
        <w:ind w:firstLine="480"/>
        <w:jc w:val="both"/>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both"/>
      </w:pPr>
      <w:r>
        <w:rPr>
          <w:rFonts w:ascii="仿宋_GB2312" w:hAnsi="仿宋_GB2312" w:cs="仿宋_GB2312" w:eastAsia="仿宋_GB2312"/>
        </w:rPr>
        <w:t>二、成交通知书对采购人和成交供应商均具有法律效力。如果出现政府采购法律法规、规章制度规定的成交无效情形的，将以公告形 式宣布发出的成交通知书无效，并依法重新确定成交供应商或者重新开展采购活动。</w:t>
      </w:r>
    </w:p>
    <w:p>
      <w:pPr>
        <w:pStyle w:val="null5"/>
        <w:ind w:firstLine="480"/>
        <w:jc w:val="both"/>
      </w:pPr>
      <w:r>
        <w:rPr>
          <w:rFonts w:ascii="仿宋_GB2312" w:hAnsi="仿宋_GB2312" w:cs="仿宋_GB2312" w:eastAsia="仿宋_GB2312"/>
        </w:rPr>
        <w:t>成交通知书发出后，采购人改变成交结果的，或者成交供应商放弃成交项目的，应当依法承担法律责任。成交供应商放弃成交项目视 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both"/>
      </w:pPr>
      <w:r>
        <w:rPr>
          <w:rFonts w:ascii="仿宋_GB2312" w:hAnsi="仿宋_GB2312" w:cs="仿宋_GB2312" w:eastAsia="仿宋_GB2312"/>
        </w:rPr>
        <w:t>三、政府采购合同自采购人和成交供应商在书面合同上签章之日起生效。</w:t>
      </w:r>
    </w:p>
    <w:p>
      <w:pPr>
        <w:pStyle w:val="null5"/>
        <w:ind w:firstLine="480"/>
        <w:jc w:val="both"/>
      </w:pPr>
      <w:r>
        <w:rPr>
          <w:rFonts w:ascii="仿宋_GB2312" w:hAnsi="仿宋_GB2312" w:cs="仿宋_GB2312" w:eastAsia="仿宋_GB2312"/>
        </w:rPr>
        <w:t>四、成交供应商完全遵守《中华人民共和国劳动合同法》有关规定和《中华人民共和国妇女权益保障法》中关于“劳动和社会保障权益 ”的有关要求。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一、严禁成交供应商将本项目合同转包。</w:t>
      </w:r>
    </w:p>
    <w:p>
      <w:pPr>
        <w:pStyle w:val="null5"/>
        <w:ind w:firstLine="480"/>
        <w:jc w:val="both"/>
      </w:pPr>
      <w:r>
        <w:rPr>
          <w:rFonts w:ascii="仿宋_GB2312" w:hAnsi="仿宋_GB2312" w:cs="仿宋_GB2312" w:eastAsia="仿宋_GB2312"/>
        </w:rPr>
        <w:t>二、成交供应商将合同转包的，将依法追究法律责任。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采购合同履行过程中，采购人需要追加与合同标的相同的货物、工程或者服务的，在不改变合同其他条款的前提下，可以与成交供应 商协商签订补充合同，但所有补充合同的采购金额不得超过原合同采购金额的百分之十。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一、采购人与成交供应商应当根据合同的约定依法履行合同义务。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both"/>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供应商向采购人提交项目验收申请后，经采购人确认达到验收条件的，采购人按学校采购项目履约验收管理办法相关规定启动项目验收，并将验收要求通知供应商</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both"/>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both"/>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both"/>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both"/>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both"/>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5"/>
        <w:ind w:firstLine="480"/>
        <w:jc w:val="both"/>
      </w:pPr>
      <w:r>
        <w:rPr>
          <w:rFonts w:ascii="仿宋_GB2312" w:hAnsi="仿宋_GB2312" w:cs="仿宋_GB2312" w:eastAsia="仿宋_GB2312"/>
        </w:rPr>
        <w:t>工程竣工经验收合格后，方可交付使用；未经验收或者验收不合格的，不得交付使用。</w:t>
      </w:r>
    </w:p>
    <w:p>
      <w:pPr>
        <w:pStyle w:val="null5"/>
        <w:ind w:firstLine="480"/>
        <w:jc w:val="both"/>
      </w:pPr>
      <w:r>
        <w:rPr>
          <w:rFonts w:ascii="仿宋_GB2312" w:hAnsi="仿宋_GB2312" w:cs="仿宋_GB2312" w:eastAsia="仿宋_GB2312"/>
        </w:rPr>
        <w:t>2.验收结果合格的，采购人应向成交供应商出具履约验收报告，成交供应商凭验收报告办理相关手续。</w:t>
      </w:r>
    </w:p>
    <w:p>
      <w:pPr>
        <w:pStyle w:val="null5"/>
        <w:ind w:firstLine="480"/>
        <w:jc w:val="both"/>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both"/>
      </w:pPr>
      <w:r>
        <w:rPr>
          <w:rFonts w:ascii="仿宋_GB2312" w:hAnsi="仿宋_GB2312" w:cs="仿宋_GB2312" w:eastAsia="仿宋_GB2312"/>
        </w:rPr>
        <w:t>有关人员对评审情况以及在评审过程中获悉的国家秘密、商业秘密负有保密责任。</w:t>
      </w:r>
    </w:p>
    <w:p>
      <w:pPr>
        <w:pStyle w:val="null5"/>
        <w:ind w:firstLine="480"/>
        <w:jc w:val="both"/>
      </w:pPr>
      <w:r>
        <w:rPr>
          <w:rFonts w:ascii="仿宋_GB2312" w:hAnsi="仿宋_GB2312" w:cs="仿宋_GB2312" w:eastAsia="仿宋_GB2312"/>
        </w:rPr>
        <w:t>2.7.2.供应商不得具有的情形</w:t>
      </w:r>
    </w:p>
    <w:p>
      <w:pPr>
        <w:pStyle w:val="null5"/>
        <w:ind w:firstLine="480"/>
        <w:jc w:val="both"/>
      </w:pPr>
      <w:r>
        <w:rPr>
          <w:rFonts w:ascii="仿宋_GB2312" w:hAnsi="仿宋_GB2312" w:cs="仿宋_GB2312" w:eastAsia="仿宋_GB2312"/>
        </w:rPr>
        <w:t>供应商参加磋商不得有下列情形：</w:t>
      </w:r>
    </w:p>
    <w:p>
      <w:pPr>
        <w:pStyle w:val="null5"/>
        <w:ind w:firstLine="480"/>
        <w:jc w:val="both"/>
      </w:pPr>
      <w:r>
        <w:rPr>
          <w:rFonts w:ascii="仿宋_GB2312" w:hAnsi="仿宋_GB2312" w:cs="仿宋_GB2312" w:eastAsia="仿宋_GB2312"/>
        </w:rPr>
        <w:t>一、有下列情形之一的，视为供应商串通响应：</w:t>
      </w:r>
    </w:p>
    <w:p>
      <w:pPr>
        <w:pStyle w:val="null5"/>
        <w:ind w:firstLine="480"/>
        <w:jc w:val="both"/>
      </w:pPr>
      <w:r>
        <w:rPr>
          <w:rFonts w:ascii="仿宋_GB2312" w:hAnsi="仿宋_GB2312" w:cs="仿宋_GB2312" w:eastAsia="仿宋_GB2312"/>
        </w:rPr>
        <w:t>（一）不同供应商的响应文件由同一单位或者个人编制；</w:t>
      </w:r>
    </w:p>
    <w:p>
      <w:pPr>
        <w:pStyle w:val="null5"/>
        <w:ind w:firstLine="480"/>
        <w:jc w:val="both"/>
      </w:pPr>
      <w:r>
        <w:rPr>
          <w:rFonts w:ascii="仿宋_GB2312" w:hAnsi="仿宋_GB2312" w:cs="仿宋_GB2312" w:eastAsia="仿宋_GB2312"/>
        </w:rPr>
        <w:t>（二）不同供应商委托同一单位或者个人办理投标事宜；</w:t>
      </w:r>
    </w:p>
    <w:p>
      <w:pPr>
        <w:pStyle w:val="null5"/>
        <w:ind w:firstLine="480"/>
        <w:jc w:val="both"/>
      </w:pPr>
      <w:r>
        <w:rPr>
          <w:rFonts w:ascii="仿宋_GB2312" w:hAnsi="仿宋_GB2312" w:cs="仿宋_GB2312" w:eastAsia="仿宋_GB2312"/>
        </w:rPr>
        <w:t>（三）不同供应商的响应文件载明的项目管理成员或者联系人员为同一人；</w:t>
      </w:r>
    </w:p>
    <w:p>
      <w:pPr>
        <w:pStyle w:val="null5"/>
        <w:ind w:firstLine="480"/>
        <w:jc w:val="both"/>
      </w:pPr>
      <w:r>
        <w:rPr>
          <w:rFonts w:ascii="仿宋_GB2312" w:hAnsi="仿宋_GB2312" w:cs="仿宋_GB2312" w:eastAsia="仿宋_GB2312"/>
        </w:rPr>
        <w:t>（四）不同供应商的响应文件异常一致或者响应报价呈规律性差异；</w:t>
      </w:r>
    </w:p>
    <w:p>
      <w:pPr>
        <w:pStyle w:val="null5"/>
        <w:ind w:firstLine="480"/>
        <w:jc w:val="both"/>
      </w:pPr>
      <w:r>
        <w:rPr>
          <w:rFonts w:ascii="仿宋_GB2312" w:hAnsi="仿宋_GB2312" w:cs="仿宋_GB2312" w:eastAsia="仿宋_GB2312"/>
        </w:rPr>
        <w:t>（五）不同供应商的响应文件相互混装；</w:t>
      </w:r>
    </w:p>
    <w:p>
      <w:pPr>
        <w:pStyle w:val="null5"/>
        <w:ind w:firstLine="480"/>
        <w:jc w:val="both"/>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both"/>
      </w:pPr>
      <w:r>
        <w:rPr>
          <w:rFonts w:ascii="仿宋_GB2312" w:hAnsi="仿宋_GB2312" w:cs="仿宋_GB2312" w:eastAsia="仿宋_GB2312"/>
        </w:rPr>
        <w:t>（二）供应商按照采购人或者代理机构的授意撤换、修改响应文件；</w:t>
      </w:r>
    </w:p>
    <w:p>
      <w:pPr>
        <w:pStyle w:val="null5"/>
        <w:ind w:firstLine="480"/>
        <w:jc w:val="both"/>
      </w:pPr>
      <w:r>
        <w:rPr>
          <w:rFonts w:ascii="仿宋_GB2312" w:hAnsi="仿宋_GB2312" w:cs="仿宋_GB2312" w:eastAsia="仿宋_GB2312"/>
        </w:rPr>
        <w:t>（三）供应商之间协商报价、技术方案等响应文件的实质性内容；</w:t>
      </w:r>
    </w:p>
    <w:p>
      <w:pPr>
        <w:pStyle w:val="null5"/>
        <w:ind w:firstLine="480"/>
        <w:jc w:val="both"/>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both"/>
      </w:pPr>
      <w:r>
        <w:rPr>
          <w:rFonts w:ascii="仿宋_GB2312" w:hAnsi="仿宋_GB2312" w:cs="仿宋_GB2312" w:eastAsia="仿宋_GB2312"/>
        </w:rPr>
        <w:t>（五）供应商之间事先约定由某一特定供应商成交；</w:t>
      </w:r>
    </w:p>
    <w:p>
      <w:pPr>
        <w:pStyle w:val="null5"/>
        <w:ind w:firstLine="480"/>
        <w:jc w:val="both"/>
      </w:pPr>
      <w:r>
        <w:rPr>
          <w:rFonts w:ascii="仿宋_GB2312" w:hAnsi="仿宋_GB2312" w:cs="仿宋_GB2312" w:eastAsia="仿宋_GB2312"/>
        </w:rPr>
        <w:t>（六）供应商之间商定部分供应商放弃参加政府采购活动或者放弃成交；</w:t>
      </w:r>
    </w:p>
    <w:p>
      <w:pPr>
        <w:pStyle w:val="null5"/>
        <w:ind w:firstLine="480"/>
        <w:jc w:val="both"/>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both"/>
      </w:pPr>
      <w:r>
        <w:rPr>
          <w:rFonts w:ascii="仿宋_GB2312" w:hAnsi="仿宋_GB2312" w:cs="仿宋_GB2312" w:eastAsia="仿宋_GB2312"/>
        </w:rPr>
        <w:t>三、提供虚假材料谋取成交；</w:t>
      </w:r>
    </w:p>
    <w:p>
      <w:pPr>
        <w:pStyle w:val="null5"/>
        <w:ind w:firstLine="480"/>
        <w:jc w:val="both"/>
      </w:pPr>
      <w:r>
        <w:rPr>
          <w:rFonts w:ascii="仿宋_GB2312" w:hAnsi="仿宋_GB2312" w:cs="仿宋_GB2312" w:eastAsia="仿宋_GB2312"/>
        </w:rPr>
        <w:t>四、采取不正当手段诋毁、排挤其他供应商；</w:t>
      </w:r>
    </w:p>
    <w:p>
      <w:pPr>
        <w:pStyle w:val="null5"/>
        <w:ind w:firstLine="480"/>
        <w:jc w:val="both"/>
      </w:pPr>
      <w:r>
        <w:rPr>
          <w:rFonts w:ascii="仿宋_GB2312" w:hAnsi="仿宋_GB2312" w:cs="仿宋_GB2312" w:eastAsia="仿宋_GB2312"/>
        </w:rPr>
        <w:t>五、与采购人或者代理机构、其他供应商恶意串通；</w:t>
      </w:r>
    </w:p>
    <w:p>
      <w:pPr>
        <w:pStyle w:val="null5"/>
        <w:ind w:firstLine="480"/>
        <w:jc w:val="both"/>
      </w:pPr>
      <w:r>
        <w:rPr>
          <w:rFonts w:ascii="仿宋_GB2312" w:hAnsi="仿宋_GB2312" w:cs="仿宋_GB2312" w:eastAsia="仿宋_GB2312"/>
        </w:rPr>
        <w:t>六、向采购人或者代理机构、磋商小组成员行贿或者提供其他不正当利益；</w:t>
      </w:r>
    </w:p>
    <w:p>
      <w:pPr>
        <w:pStyle w:val="null5"/>
        <w:ind w:firstLine="480"/>
        <w:jc w:val="both"/>
      </w:pPr>
      <w:r>
        <w:rPr>
          <w:rFonts w:ascii="仿宋_GB2312" w:hAnsi="仿宋_GB2312" w:cs="仿宋_GB2312" w:eastAsia="仿宋_GB2312"/>
        </w:rPr>
        <w:t>七、成交后无正当理由拒不与采购人签订政府采购合同；</w:t>
      </w:r>
    </w:p>
    <w:p>
      <w:pPr>
        <w:pStyle w:val="null5"/>
        <w:ind w:firstLine="480"/>
        <w:jc w:val="both"/>
      </w:pPr>
      <w:r>
        <w:rPr>
          <w:rFonts w:ascii="仿宋_GB2312" w:hAnsi="仿宋_GB2312" w:cs="仿宋_GB2312" w:eastAsia="仿宋_GB2312"/>
        </w:rPr>
        <w:t>八、未按照磋商文件确定的事项签订政府采购合同；</w:t>
      </w:r>
    </w:p>
    <w:p>
      <w:pPr>
        <w:pStyle w:val="null5"/>
        <w:ind w:firstLine="480"/>
        <w:jc w:val="both"/>
      </w:pPr>
      <w:r>
        <w:rPr>
          <w:rFonts w:ascii="仿宋_GB2312" w:hAnsi="仿宋_GB2312" w:cs="仿宋_GB2312" w:eastAsia="仿宋_GB2312"/>
        </w:rPr>
        <w:t>九、将政府采购合同转包或者违规分包；</w:t>
      </w:r>
    </w:p>
    <w:p>
      <w:pPr>
        <w:pStyle w:val="null5"/>
        <w:ind w:firstLine="480"/>
        <w:jc w:val="both"/>
      </w:pPr>
      <w:r>
        <w:rPr>
          <w:rFonts w:ascii="仿宋_GB2312" w:hAnsi="仿宋_GB2312" w:cs="仿宋_GB2312" w:eastAsia="仿宋_GB2312"/>
        </w:rPr>
        <w:t>十、提供假冒伪劣产品；</w:t>
      </w:r>
    </w:p>
    <w:p>
      <w:pPr>
        <w:pStyle w:val="null5"/>
        <w:ind w:firstLine="480"/>
        <w:jc w:val="both"/>
      </w:pPr>
      <w:r>
        <w:rPr>
          <w:rFonts w:ascii="仿宋_GB2312" w:hAnsi="仿宋_GB2312" w:cs="仿宋_GB2312" w:eastAsia="仿宋_GB2312"/>
        </w:rPr>
        <w:t>十一、擅自变更、中止或者终止政府采购合同；</w:t>
      </w:r>
    </w:p>
    <w:p>
      <w:pPr>
        <w:pStyle w:val="null5"/>
        <w:ind w:firstLine="480"/>
        <w:jc w:val="both"/>
      </w:pPr>
      <w:r>
        <w:rPr>
          <w:rFonts w:ascii="仿宋_GB2312" w:hAnsi="仿宋_GB2312" w:cs="仿宋_GB2312" w:eastAsia="仿宋_GB2312"/>
        </w:rPr>
        <w:t>十二、拒绝有关部门的监督检查或者向监督检查部门提供虚假情况；</w:t>
      </w:r>
    </w:p>
    <w:p>
      <w:pPr>
        <w:pStyle w:val="null5"/>
        <w:ind w:firstLine="480"/>
        <w:jc w:val="both"/>
      </w:pPr>
      <w:r>
        <w:rPr>
          <w:rFonts w:ascii="仿宋_GB2312" w:hAnsi="仿宋_GB2312" w:cs="仿宋_GB2312" w:eastAsia="仿宋_GB2312"/>
        </w:rPr>
        <w:t>十三、法律法规规定的其他禁止情形。</w:t>
      </w:r>
    </w:p>
    <w:p>
      <w:pPr>
        <w:pStyle w:val="null5"/>
        <w:ind w:firstLine="480"/>
        <w:jc w:val="both"/>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 由 市场监督管理部门吊销营业执照；构成犯罪的，依法追究刑事责任。</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政府采购活动中，采购人员及相关人员与供应商有下列利害关系之一的，应当回避：</w:t>
      </w:r>
    </w:p>
    <w:p>
      <w:pPr>
        <w:pStyle w:val="null5"/>
        <w:ind w:firstLine="480"/>
        <w:jc w:val="both"/>
      </w:pPr>
      <w:r>
        <w:rPr>
          <w:rFonts w:ascii="仿宋_GB2312" w:hAnsi="仿宋_GB2312" w:cs="仿宋_GB2312" w:eastAsia="仿宋_GB2312"/>
        </w:rPr>
        <w:t>一、参加采购活动前 3 年内与供应商存在劳动关系；</w:t>
      </w:r>
    </w:p>
    <w:p>
      <w:pPr>
        <w:pStyle w:val="null5"/>
        <w:ind w:firstLine="480"/>
        <w:jc w:val="both"/>
      </w:pPr>
      <w:r>
        <w:rPr>
          <w:rFonts w:ascii="仿宋_GB2312" w:hAnsi="仿宋_GB2312" w:cs="仿宋_GB2312" w:eastAsia="仿宋_GB2312"/>
        </w:rPr>
        <w:t>二、参加采购活动前 3 年内担任供应商的董事、监事；</w:t>
      </w:r>
    </w:p>
    <w:p>
      <w:pPr>
        <w:pStyle w:val="null5"/>
        <w:ind w:firstLine="480"/>
        <w:jc w:val="both"/>
      </w:pPr>
      <w:r>
        <w:rPr>
          <w:rFonts w:ascii="仿宋_GB2312" w:hAnsi="仿宋_GB2312" w:cs="仿宋_GB2312" w:eastAsia="仿宋_GB2312"/>
        </w:rPr>
        <w:t>三、参加采购活动前 3 年内是供应商的控股股东或者实际控制人；</w:t>
      </w:r>
    </w:p>
    <w:p>
      <w:pPr>
        <w:pStyle w:val="null5"/>
        <w:ind w:firstLine="480"/>
        <w:jc w:val="both"/>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二、供应商询问、质疑的答复主体：</w:t>
      </w:r>
    </w:p>
    <w:p>
      <w:pPr>
        <w:pStyle w:val="null5"/>
        <w:ind w:firstLine="480"/>
        <w:jc w:val="both"/>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山东石油化工学院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山东华标招标有限公司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山东华标招标有限公司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联系人：印女士</w:t>
      </w:r>
    </w:p>
    <w:p>
      <w:pPr>
        <w:pStyle w:val="null5"/>
        <w:jc w:val="left"/>
      </w:pPr>
      <w:r>
        <w:rPr>
          <w:rFonts w:ascii="仿宋_GB2312" w:hAnsi="仿宋_GB2312" w:cs="仿宋_GB2312" w:eastAsia="仿宋_GB2312"/>
        </w:rPr>
        <w:t>联系电话：0546-8036663</w:t>
      </w:r>
    </w:p>
    <w:p>
      <w:pPr>
        <w:pStyle w:val="null5"/>
        <w:jc w:val="left"/>
      </w:pPr>
      <w:r>
        <w:rPr>
          <w:rFonts w:ascii="仿宋_GB2312" w:hAnsi="仿宋_GB2312" w:cs="仿宋_GB2312" w:eastAsia="仿宋_GB2312"/>
        </w:rPr>
        <w:t>地址：东营市海通创客中心1号楼</w:t>
      </w:r>
    </w:p>
    <w:p>
      <w:pPr>
        <w:pStyle w:val="null5"/>
        <w:jc w:val="left"/>
      </w:pPr>
      <w:r>
        <w:rPr>
          <w:rFonts w:ascii="仿宋_GB2312" w:hAnsi="仿宋_GB2312" w:cs="仿宋_GB2312" w:eastAsia="仿宋_GB2312"/>
        </w:rPr>
        <w:t>邮编：257100</w:t>
      </w:r>
    </w:p>
    <w:p>
      <w:pPr>
        <w:pStyle w:val="null5"/>
        <w:ind w:firstLine="480"/>
        <w:jc w:val="both"/>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both"/>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both"/>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（三）对成交结果提出质疑的，为成交结果公告期限届满之日。</w:t>
      </w:r>
    </w:p>
    <w:p>
      <w:pPr>
        <w:pStyle w:val="null5"/>
        <w:ind w:firstLine="480"/>
        <w:jc w:val="both"/>
      </w:pPr>
      <w:r>
        <w:rPr>
          <w:rFonts w:ascii="仿宋_GB2312" w:hAnsi="仿宋_GB2312" w:cs="仿宋_GB2312" w:eastAsia="仿宋_GB2312"/>
        </w:rPr>
        <w:t>五、供应商通过书面形式线下向采购人或者代理机构提交质疑资料。</w:t>
      </w:r>
    </w:p>
    <w:p>
      <w:pPr>
        <w:pStyle w:val="null5"/>
        <w:ind w:firstLine="480"/>
        <w:jc w:val="both"/>
      </w:pPr>
      <w:r>
        <w:rPr>
          <w:rFonts w:ascii="仿宋_GB2312" w:hAnsi="仿宋_GB2312" w:cs="仿宋_GB2312" w:eastAsia="仿宋_GB2312"/>
        </w:rPr>
        <w:t>六、供应商提出质疑时应当准备的资料：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both"/>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both"/>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both"/>
      </w:pPr>
      <w:r>
        <w:rPr>
          <w:rFonts w:ascii="仿宋_GB2312" w:hAnsi="仿宋_GB2312" w:cs="仿宋_GB2312" w:eastAsia="仿宋_GB2312"/>
        </w:rPr>
        <w:t>七、供应商对采购人或者代理机构的质疑答复不满意、采购人或者代理机构未在规定期限内作出答复的，供应商可以在答复期满后15 个工作日内向同级财政部门提起投诉。</w:t>
      </w:r>
    </w:p>
    <w:p>
      <w:pPr>
        <w:pStyle w:val="null5"/>
        <w:ind w:firstLine="480"/>
        <w:jc w:val="both"/>
      </w:pPr>
      <w:r>
        <w:rPr>
          <w:rFonts w:ascii="仿宋_GB2312" w:hAnsi="仿宋_GB2312" w:cs="仿宋_GB2312" w:eastAsia="仿宋_GB2312"/>
        </w:rPr>
        <w:t>八、法律责任</w:t>
      </w:r>
    </w:p>
    <w:p>
      <w:pPr>
        <w:pStyle w:val="null5"/>
        <w:ind w:firstLine="480"/>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 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 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 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both"/>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 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471,446.11</w:t>
      </w:r>
    </w:p>
    <w:p>
      <w:pPr>
        <w:pStyle w:val="null5"/>
        <w:jc w:val="left"/>
      </w:pPr>
      <w:r>
        <w:rPr>
          <w:rFonts w:ascii="仿宋_GB2312" w:hAnsi="仿宋_GB2312" w:cs="仿宋_GB2312" w:eastAsia="仿宋_GB2312"/>
        </w:rPr>
        <w:t>采购包最高限价（元）: 471,446.11</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山东石油化工学院教学院、实验室等维修</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471,446.11</w:t>
            </w:r>
          </w:p>
        </w:tc>
        <w:tc>
          <w:tcPr>
            <w:tcW w:type="dxa" w:w="923"/>
          </w:tcPr>
          <w:p>
            <w:pPr>
              <w:pStyle w:val="null5"/>
              <w:jc w:val="left"/>
            </w:pPr>
            <w:r>
              <w:rPr>
                <w:rFonts w:ascii="仿宋_GB2312" w:hAnsi="仿宋_GB2312" w:cs="仿宋_GB2312" w:eastAsia="仿宋_GB2312"/>
              </w:rPr>
              <w:t>建筑业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b/>
        </w:rPr>
        <w:t>报价要求</w:t>
      </w:r>
    </w:p>
    <w:p>
      <w:pPr>
        <w:pStyle w:val="null5"/>
        <w:ind w:firstLine="480"/>
        <w:jc w:val="left"/>
      </w:pPr>
      <w:r>
        <w:rPr>
          <w:rFonts w:ascii="仿宋_GB2312" w:hAnsi="仿宋_GB2312" w:cs="仿宋_GB2312" w:eastAsia="仿宋_GB2312"/>
          <w:b/>
        </w:rPr>
        <w:t>采购包1：</w:t>
      </w:r>
    </w:p>
    <w:p>
      <w:pPr>
        <w:pStyle w:val="null5"/>
        <w:jc w:val="left"/>
      </w:pPr>
      <w:r>
        <w:rPr>
          <w:rFonts w:ascii="仿宋_GB2312" w:hAnsi="仿宋_GB2312" w:cs="仿宋_GB2312" w:eastAsia="仿宋_GB2312"/>
          <w:b/>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b/>
              </w:rPr>
              <w:t>序号</w:t>
            </w:r>
          </w:p>
        </w:tc>
        <w:tc>
          <w:tcPr>
            <w:tcW w:type="dxa" w:w="3046"/>
          </w:tcPr>
          <w:p>
            <w:pPr>
              <w:pStyle w:val="null5"/>
              <w:jc w:val="left"/>
            </w:pPr>
            <w:r>
              <w:rPr>
                <w:rFonts w:ascii="仿宋_GB2312" w:hAnsi="仿宋_GB2312" w:cs="仿宋_GB2312" w:eastAsia="仿宋_GB2312"/>
                <w:b/>
              </w:rPr>
              <w:t>报价内容</w:t>
            </w:r>
          </w:p>
        </w:tc>
        <w:tc>
          <w:tcPr>
            <w:tcW w:type="dxa" w:w="554"/>
          </w:tcPr>
          <w:p>
            <w:pPr>
              <w:pStyle w:val="null5"/>
              <w:jc w:val="left"/>
            </w:pPr>
            <w:r>
              <w:rPr>
                <w:rFonts w:ascii="仿宋_GB2312" w:hAnsi="仿宋_GB2312" w:cs="仿宋_GB2312" w:eastAsia="仿宋_GB2312"/>
                <w:b/>
              </w:rPr>
              <w:t>计量单位</w:t>
            </w:r>
          </w:p>
        </w:tc>
        <w:tc>
          <w:tcPr>
            <w:tcW w:type="dxa" w:w="554"/>
          </w:tcPr>
          <w:p>
            <w:pPr>
              <w:pStyle w:val="null5"/>
              <w:jc w:val="left"/>
            </w:pPr>
            <w:r>
              <w:rPr>
                <w:rFonts w:ascii="仿宋_GB2312" w:hAnsi="仿宋_GB2312" w:cs="仿宋_GB2312" w:eastAsia="仿宋_GB2312"/>
                <w:b/>
              </w:rPr>
              <w:t>报价单位</w:t>
            </w:r>
          </w:p>
        </w:tc>
        <w:tc>
          <w:tcPr>
            <w:tcW w:type="dxa" w:w="1384"/>
          </w:tcPr>
          <w:p>
            <w:pPr>
              <w:pStyle w:val="null5"/>
              <w:jc w:val="left"/>
            </w:pPr>
            <w:r>
              <w:rPr>
                <w:rFonts w:ascii="仿宋_GB2312" w:hAnsi="仿宋_GB2312" w:cs="仿宋_GB2312" w:eastAsia="仿宋_GB2312"/>
                <w:b/>
              </w:rPr>
              <w:t>最高限价</w:t>
            </w:r>
          </w:p>
        </w:tc>
        <w:tc>
          <w:tcPr>
            <w:tcW w:type="dxa" w:w="1384"/>
          </w:tcPr>
          <w:p>
            <w:pPr>
              <w:pStyle w:val="null5"/>
              <w:jc w:val="left"/>
            </w:pPr>
            <w:r>
              <w:rPr>
                <w:rFonts w:ascii="仿宋_GB2312" w:hAnsi="仿宋_GB2312" w:cs="仿宋_GB2312" w:eastAsia="仿宋_GB2312"/>
                <w:b/>
              </w:rPr>
              <w:t>价款形式</w:t>
            </w:r>
          </w:p>
        </w:tc>
        <w:tc>
          <w:tcPr>
            <w:tcW w:type="dxa" w:w="1038"/>
          </w:tcPr>
          <w:p>
            <w:pPr>
              <w:pStyle w:val="null5"/>
              <w:jc w:val="left"/>
            </w:pPr>
            <w:r>
              <w:rPr>
                <w:rFonts w:ascii="仿宋_GB2312" w:hAnsi="仿宋_GB2312" w:cs="仿宋_GB2312" w:eastAsia="仿宋_GB2312"/>
                <w:b/>
              </w:rPr>
              <w:t>报价说明</w:t>
            </w:r>
          </w:p>
        </w:tc>
      </w:tr>
      <w:tr>
        <w:tc>
          <w:tcPr>
            <w:tcW w:type="dxa" w:w="346"/>
          </w:tcPr>
          <w:p>
            <w:pPr>
              <w:pStyle w:val="null5"/>
              <w:jc w:val="left"/>
            </w:pPr>
            <w:r>
              <w:rPr>
                <w:rFonts w:ascii="仿宋_GB2312" w:hAnsi="仿宋_GB2312" w:cs="仿宋_GB2312" w:eastAsia="仿宋_GB2312"/>
                <w:b/>
              </w:rPr>
              <w:t>1</w:t>
            </w:r>
          </w:p>
        </w:tc>
        <w:tc>
          <w:tcPr>
            <w:tcW w:type="dxa" w:w="3046"/>
          </w:tcPr>
          <w:p>
            <w:pPr>
              <w:pStyle w:val="null5"/>
              <w:jc w:val="left"/>
            </w:pPr>
            <w:r>
              <w:rPr>
                <w:rFonts w:ascii="仿宋_GB2312" w:hAnsi="仿宋_GB2312" w:cs="仿宋_GB2312" w:eastAsia="仿宋_GB2312"/>
                <w:b/>
              </w:rPr>
              <w:t>山东石油化工学院教学院、实验室等维修</w:t>
            </w:r>
          </w:p>
        </w:tc>
        <w:tc>
          <w:tcPr>
            <w:tcW w:type="dxa" w:w="554"/>
          </w:tcPr>
          <w:p>
            <w:pPr>
              <w:pStyle w:val="null5"/>
              <w:jc w:val="left"/>
            </w:pPr>
            <w:r>
              <w:rPr>
                <w:rFonts w:ascii="仿宋_GB2312" w:hAnsi="仿宋_GB2312" w:cs="仿宋_GB2312" w:eastAsia="仿宋_GB2312"/>
                <w:b/>
              </w:rPr>
              <w:t>项</w:t>
            </w:r>
          </w:p>
        </w:tc>
        <w:tc>
          <w:tcPr>
            <w:tcW w:type="dxa" w:w="554"/>
          </w:tcPr>
          <w:p>
            <w:pPr>
              <w:pStyle w:val="null5"/>
              <w:jc w:val="left"/>
            </w:pPr>
            <w:r>
              <w:rPr>
                <w:rFonts w:ascii="仿宋_GB2312" w:hAnsi="仿宋_GB2312" w:cs="仿宋_GB2312" w:eastAsia="仿宋_GB2312"/>
                <w:b/>
              </w:rPr>
              <w:t>元</w:t>
            </w:r>
          </w:p>
        </w:tc>
        <w:tc>
          <w:tcPr>
            <w:tcW w:type="dxa" w:w="1384"/>
          </w:tcPr>
          <w:p>
            <w:pPr>
              <w:pStyle w:val="null5"/>
              <w:jc w:val="right"/>
            </w:pPr>
            <w:r>
              <w:rPr>
                <w:rFonts w:ascii="仿宋_GB2312" w:hAnsi="仿宋_GB2312" w:cs="仿宋_GB2312" w:eastAsia="仿宋_GB2312"/>
                <w:b/>
              </w:rPr>
              <w:t>471,446.11</w:t>
            </w:r>
          </w:p>
        </w:tc>
        <w:tc>
          <w:tcPr>
            <w:tcW w:type="dxa" w:w="1384"/>
          </w:tcPr>
          <w:p>
            <w:pPr>
              <w:pStyle w:val="null5"/>
              <w:jc w:val="left"/>
            </w:pPr>
            <w:r>
              <w:rPr>
                <w:rFonts w:ascii="仿宋_GB2312" w:hAnsi="仿宋_GB2312" w:cs="仿宋_GB2312" w:eastAsia="仿宋_GB2312"/>
                <w:b/>
              </w:rPr>
              <w:t>总价</w:t>
            </w:r>
          </w:p>
        </w:tc>
        <w:tc>
          <w:tcPr>
            <w:tcW w:type="dxa" w:w="1038"/>
          </w:tcPr>
          <w:p>
            <w:pPr>
              <w:pStyle w:val="null5"/>
              <w:jc w:val="left"/>
            </w:pPr>
            <w:r>
              <w:rPr>
                <w:rFonts w:ascii="仿宋_GB2312" w:hAnsi="仿宋_GB2312" w:cs="仿宋_GB2312" w:eastAsia="仿宋_GB2312"/>
                <w:b/>
              </w:rPr>
              <w:t>无</w:t>
            </w:r>
          </w:p>
        </w:tc>
      </w:tr>
    </w:tbl>
    <w:p>
      <w:pPr>
        <w:pStyle w:val="null5"/>
        <w:jc w:val="left"/>
      </w:pPr>
      <w:r>
        <w:rPr>
          <w:rFonts w:ascii="仿宋_GB2312" w:hAnsi="仿宋_GB2312" w:cs="仿宋_GB2312" w:eastAsia="仿宋_GB2312"/>
          <w:b/>
        </w:rPr>
        <w:t>（2）报价明细要求：</w:t>
      </w:r>
    </w:p>
    <w:p>
      <w:pPr>
        <w:pStyle w:val="null5"/>
        <w:jc w:val="left"/>
      </w:pPr>
      <w:r>
        <w:rPr>
          <w:rFonts w:ascii="仿宋_GB2312" w:hAnsi="仿宋_GB2312" w:cs="仿宋_GB2312" w:eastAsia="仿宋_GB2312"/>
          <w:b/>
        </w:rPr>
        <w:t>山东石油化工学院教学院、实验室等维修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b/>
              </w:rPr>
              <w:t>序号</w:t>
            </w:r>
          </w:p>
        </w:tc>
        <w:tc>
          <w:tcPr>
            <w:tcW w:type="dxa" w:w="2076"/>
          </w:tcPr>
          <w:p>
            <w:pPr>
              <w:pStyle w:val="null5"/>
              <w:jc w:val="left"/>
            </w:pPr>
            <w:r>
              <w:rPr>
                <w:rFonts w:ascii="仿宋_GB2312" w:hAnsi="仿宋_GB2312" w:cs="仿宋_GB2312" w:eastAsia="仿宋_GB2312"/>
                <w:b/>
              </w:rPr>
              <w:t>报价明细内容</w:t>
            </w:r>
          </w:p>
        </w:tc>
        <w:tc>
          <w:tcPr>
            <w:tcW w:type="dxa" w:w="2076"/>
          </w:tcPr>
          <w:p>
            <w:pPr>
              <w:pStyle w:val="null5"/>
              <w:jc w:val="left"/>
            </w:pPr>
            <w:r>
              <w:rPr>
                <w:rFonts w:ascii="仿宋_GB2312" w:hAnsi="仿宋_GB2312" w:cs="仿宋_GB2312" w:eastAsia="仿宋_GB2312"/>
                <w:b/>
              </w:rPr>
              <w:t>报价要求</w:t>
            </w:r>
          </w:p>
        </w:tc>
        <w:tc>
          <w:tcPr>
            <w:tcW w:type="dxa" w:w="415"/>
          </w:tcPr>
          <w:p>
            <w:pPr>
              <w:pStyle w:val="null5"/>
              <w:jc w:val="left"/>
            </w:pPr>
            <w:r>
              <w:rPr>
                <w:rFonts w:ascii="仿宋_GB2312" w:hAnsi="仿宋_GB2312" w:cs="仿宋_GB2312" w:eastAsia="仿宋_GB2312"/>
                <w:b/>
              </w:rPr>
              <w:t>计量单位</w:t>
            </w:r>
          </w:p>
        </w:tc>
        <w:tc>
          <w:tcPr>
            <w:tcW w:type="dxa" w:w="415"/>
          </w:tcPr>
          <w:p>
            <w:pPr>
              <w:pStyle w:val="null5"/>
              <w:jc w:val="left"/>
            </w:pPr>
            <w:r>
              <w:rPr>
                <w:rFonts w:ascii="仿宋_GB2312" w:hAnsi="仿宋_GB2312" w:cs="仿宋_GB2312" w:eastAsia="仿宋_GB2312"/>
                <w:b/>
              </w:rPr>
              <w:t>报价单位</w:t>
            </w:r>
          </w:p>
        </w:tc>
        <w:tc>
          <w:tcPr>
            <w:tcW w:type="dxa" w:w="831"/>
          </w:tcPr>
          <w:p>
            <w:pPr>
              <w:pStyle w:val="null5"/>
              <w:jc w:val="left"/>
            </w:pPr>
            <w:r>
              <w:rPr>
                <w:rFonts w:ascii="仿宋_GB2312" w:hAnsi="仿宋_GB2312" w:cs="仿宋_GB2312" w:eastAsia="仿宋_GB2312"/>
                <w:b/>
              </w:rPr>
              <w:t>最高限价</w:t>
            </w:r>
          </w:p>
        </w:tc>
        <w:tc>
          <w:tcPr>
            <w:tcW w:type="dxa" w:w="831"/>
          </w:tcPr>
          <w:p>
            <w:pPr>
              <w:pStyle w:val="null5"/>
              <w:jc w:val="left"/>
            </w:pPr>
            <w:r>
              <w:rPr>
                <w:rFonts w:ascii="仿宋_GB2312" w:hAnsi="仿宋_GB2312" w:cs="仿宋_GB2312" w:eastAsia="仿宋_GB2312"/>
                <w:b/>
              </w:rPr>
              <w:t>价款形式</w:t>
            </w:r>
          </w:p>
        </w:tc>
        <w:tc>
          <w:tcPr>
            <w:tcW w:type="dxa" w:w="1246"/>
          </w:tcPr>
          <w:p>
            <w:pPr>
              <w:pStyle w:val="null5"/>
              <w:jc w:val="left"/>
            </w:pPr>
            <w:r>
              <w:rPr>
                <w:rFonts w:ascii="仿宋_GB2312" w:hAnsi="仿宋_GB2312" w:cs="仿宋_GB2312" w:eastAsia="仿宋_GB2312"/>
                <w:b/>
              </w:rPr>
              <w:t>报价说明</w:t>
            </w:r>
          </w:p>
        </w:tc>
      </w:tr>
      <w:tr>
        <w:tc>
          <w:tcPr>
            <w:tcW w:type="dxa" w:w="415"/>
          </w:tcPr>
          <w:p>
            <w:pPr>
              <w:pStyle w:val="null5"/>
              <w:jc w:val="left"/>
            </w:pPr>
            <w:r>
              <w:rPr>
                <w:rFonts w:ascii="仿宋_GB2312" w:hAnsi="仿宋_GB2312" w:cs="仿宋_GB2312" w:eastAsia="仿宋_GB2312"/>
                <w:b/>
              </w:rPr>
              <w:t>1</w:t>
            </w:r>
          </w:p>
        </w:tc>
        <w:tc>
          <w:tcPr>
            <w:tcW w:type="dxa" w:w="2076"/>
          </w:tcPr>
          <w:p>
            <w:pPr>
              <w:pStyle w:val="null5"/>
              <w:jc w:val="left"/>
            </w:pPr>
            <w:r>
              <w:rPr>
                <w:rFonts w:ascii="仿宋_GB2312" w:hAnsi="仿宋_GB2312" w:cs="仿宋_GB2312" w:eastAsia="仿宋_GB2312"/>
                <w:b/>
              </w:rPr>
              <w:t>山东石油化工学院教学院、实验室等维修</w:t>
            </w:r>
          </w:p>
        </w:tc>
        <w:tc>
          <w:tcPr>
            <w:tcW w:type="dxa" w:w="2076"/>
          </w:tcPr>
          <w:p>
            <w:pPr>
              <w:pStyle w:val="null5"/>
              <w:jc w:val="left"/>
            </w:pPr>
            <w:r>
              <w:rPr>
                <w:rFonts w:ascii="仿宋_GB2312" w:hAnsi="仿宋_GB2312" w:cs="仿宋_GB2312" w:eastAsia="仿宋_GB2312"/>
                <w:b/>
              </w:rPr>
              <w:t>山东石油化工学院教学院、实验室等维修</w:t>
            </w:r>
          </w:p>
        </w:tc>
        <w:tc>
          <w:tcPr>
            <w:tcW w:type="dxa" w:w="415"/>
          </w:tcPr>
          <w:p>
            <w:pPr>
              <w:pStyle w:val="null5"/>
              <w:jc w:val="left"/>
            </w:pPr>
            <w:r>
              <w:rPr>
                <w:rFonts w:ascii="仿宋_GB2312" w:hAnsi="仿宋_GB2312" w:cs="仿宋_GB2312" w:eastAsia="仿宋_GB2312"/>
                <w:b/>
              </w:rPr>
              <w:t>项</w:t>
            </w:r>
          </w:p>
        </w:tc>
        <w:tc>
          <w:tcPr>
            <w:tcW w:type="dxa" w:w="415"/>
          </w:tcPr>
          <w:p>
            <w:pPr>
              <w:pStyle w:val="null5"/>
              <w:jc w:val="left"/>
            </w:pPr>
            <w:r>
              <w:rPr>
                <w:rFonts w:ascii="仿宋_GB2312" w:hAnsi="仿宋_GB2312" w:cs="仿宋_GB2312" w:eastAsia="仿宋_GB2312"/>
                <w:b/>
              </w:rPr>
              <w:t>元</w:t>
            </w:r>
          </w:p>
        </w:tc>
        <w:tc>
          <w:tcPr>
            <w:tcW w:type="dxa" w:w="831"/>
          </w:tcPr>
          <w:p>
            <w:pPr>
              <w:pStyle w:val="null5"/>
              <w:jc w:val="right"/>
            </w:pPr>
            <w:r>
              <w:rPr>
                <w:rFonts w:ascii="仿宋_GB2312" w:hAnsi="仿宋_GB2312" w:cs="仿宋_GB2312" w:eastAsia="仿宋_GB2312"/>
                <w:b/>
              </w:rPr>
              <w:t>471,446.11</w:t>
            </w:r>
          </w:p>
        </w:tc>
        <w:tc>
          <w:tcPr>
            <w:tcW w:type="dxa" w:w="831"/>
          </w:tcPr>
          <w:p>
            <w:pPr>
              <w:pStyle w:val="null5"/>
              <w:jc w:val="left"/>
            </w:pPr>
            <w:r>
              <w:rPr>
                <w:rFonts w:ascii="仿宋_GB2312" w:hAnsi="仿宋_GB2312" w:cs="仿宋_GB2312" w:eastAsia="仿宋_GB2312"/>
                <w:b/>
              </w:rPr>
              <w:t>总价</w:t>
            </w:r>
          </w:p>
        </w:tc>
        <w:tc>
          <w:tcPr>
            <w:tcW w:type="dxa" w:w="1246"/>
          </w:tcPr>
          <w:p>
            <w:pPr>
              <w:pStyle w:val="null5"/>
              <w:jc w:val="left"/>
            </w:pPr>
            <w:r>
              <w:rPr>
                <w:rFonts w:ascii="仿宋_GB2312" w:hAnsi="仿宋_GB2312" w:cs="仿宋_GB2312" w:eastAsia="仿宋_GB2312"/>
                <w:b/>
              </w:rPr>
              <w:t>本项目共两轮报价，第一轮为磋商前基础报价，第二轮报价为磋商后最终报价。 磋商小组与供应商分别进行磋商完成后，通过评标系统向实质性响应的供应商发起最终报价要求，要求所有供应商在规定时间（30分钟）内进行最终报价，提交最终报价的供应商不得少于3家（若供应商未在规定时间（30分钟）内提交最终报价，视为退出磋商）。</w:t>
            </w:r>
          </w:p>
        </w:tc>
      </w:tr>
    </w:tbl>
    <w:p>
      <w:pPr>
        <w:pStyle w:val="null5"/>
        <w:ind w:firstLine="480"/>
        <w:jc w:val="left"/>
      </w:pPr>
      <w:r>
        <w:rPr>
          <w:rFonts w:ascii="仿宋_GB2312" w:hAnsi="仿宋_GB2312" w:cs="仿宋_GB2312" w:eastAsia="仿宋_GB2312"/>
          <w:b/>
        </w:rPr>
        <w:t>本项目涉及核心产品：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b/>
        </w:rPr>
        <w:t>本项目涉及采购进口产品：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b/>
        </w:rPr>
        <w:t>本项目涉及强制采购节能产品：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5"/>
        <w:ind w:firstLine="480"/>
        <w:jc w:val="left"/>
      </w:pPr>
      <w:r>
        <w:rPr>
          <w:rFonts w:ascii="仿宋_GB2312" w:hAnsi="仿宋_GB2312" w:cs="仿宋_GB2312" w:eastAsia="仿宋_GB2312"/>
          <w:b/>
        </w:rPr>
        <w:t>本项目涉及优先采购节能产品：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w:t>
      </w:r>
    </w:p>
    <w:p>
      <w:pPr>
        <w:pStyle w:val="null5"/>
        <w:ind w:firstLine="480"/>
        <w:jc w:val="both"/>
      </w:pPr>
      <w:r>
        <w:rPr>
          <w:rFonts w:ascii="仿宋_GB2312" w:hAnsi="仿宋_GB2312" w:cs="仿宋_GB2312" w:eastAsia="仿宋_GB2312"/>
        </w:rPr>
        <w:t>节能产品认证证书的承诺，可以享受优先采购政策。具体要求详见第五章规定。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标的名称：山东石油化工学院教学院、实验室等维修</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绿建需求标准</w:t>
            </w:r>
          </w:p>
        </w:tc>
        <w:tc>
          <w:tcPr>
            <w:tcW w:type="dxa" w:w="2076"/>
          </w:tcPr>
          <w:p>
            <w:pPr>
              <w:pStyle w:val="null5"/>
              <w:jc w:val="left"/>
            </w:pPr>
            <w:r>
              <w:rPr>
                <w:rFonts w:ascii="仿宋_GB2312" w:hAnsi="仿宋_GB2312" w:cs="仿宋_GB2312" w:eastAsia="仿宋_GB2312"/>
                <w:sz w:val="22"/>
                <w:color w:val="000000"/>
              </w:rPr>
              <w:t>本项目选取的建材产品应符合《绿色建筑和绿色建材政府采购需求标准》（</w:t>
            </w:r>
            <w:r>
              <w:rPr>
                <w:rFonts w:ascii="仿宋_GB2312" w:hAnsi="仿宋_GB2312" w:cs="仿宋_GB2312" w:eastAsia="仿宋_GB2312"/>
                <w:sz w:val="22"/>
                <w:color w:val="000000"/>
              </w:rPr>
              <w:t>2025</w:t>
            </w:r>
            <w:r>
              <w:rPr>
                <w:rFonts w:ascii="仿宋_GB2312" w:hAnsi="仿宋_GB2312" w:cs="仿宋_GB2312" w:eastAsia="仿宋_GB2312"/>
                <w:sz w:val="22"/>
                <w:color w:val="000000"/>
              </w:rPr>
              <w:t>版）的指标要求，未列入需求标准的应参考绿色建筑、绿色建材等相关标准要求。</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sz w:val="22"/>
                <w:color w:val="000000"/>
              </w:rPr>
              <w:t>按照磋商文件、图纸、工程量清单及国家规定施工。</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采购范围</w:t>
            </w:r>
          </w:p>
        </w:tc>
        <w:tc>
          <w:tcPr>
            <w:tcW w:type="dxa" w:w="4153"/>
          </w:tcPr>
          <w:p>
            <w:pPr>
              <w:pStyle w:val="null5"/>
              <w:jc w:val="left"/>
            </w:pPr>
            <w:r>
              <w:rPr>
                <w:rFonts w:ascii="仿宋_GB2312" w:hAnsi="仿宋_GB2312" w:cs="仿宋_GB2312" w:eastAsia="仿宋_GB2312"/>
              </w:rPr>
              <w:t>经管学院实训室部分房间，经管楼部分房间维修改造；化工学院部分房间维修改造；马克思主义学院部分房间维修改造等内容；其他公共区域等维修。具体内容详见工程量清单及图纸。</w:t>
            </w:r>
          </w:p>
        </w:tc>
      </w:tr>
    </w:tbl>
    <w:p>
      <w:pPr>
        <w:pStyle w:val="null5"/>
        <w:ind w:firstLine="480"/>
        <w:jc w:val="both"/>
      </w:pPr>
      <w:r>
        <w:rPr>
          <w:rFonts w:ascii="仿宋_GB2312" w:hAnsi="仿宋_GB2312" w:cs="仿宋_GB2312" w:eastAsia="仿宋_GB2312"/>
        </w:rPr>
        <w:t>3.3.2.商务要求</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合同履行期限：自本项目签订合同之日起至质量保修期结束。</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工程地点：山东石油化工学院院内。</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进度款，合同项下⼯程验收合格后，待出具⼯程结算报告，供应商按照采购⼈要求提供发票（因电⼦系统设置原因⽆法修改，后⽂⽀付合同总⾦额指⼯程结算审计值），达到付款条件起60个工作日内，支付合同总金额的80.0%</w:t>
            </w:r>
            <w:r>
              <w:br/>
            </w:r>
            <w:r>
              <w:rPr>
                <w:rFonts w:ascii="仿宋_GB2312" w:hAnsi="仿宋_GB2312" w:cs="仿宋_GB2312" w:eastAsia="仿宋_GB2312"/>
              </w:rPr>
              <w:t>2、</w:t>
            </w:r>
            <w:r>
              <w:rPr>
                <w:rFonts w:ascii="仿宋_GB2312" w:hAnsi="仿宋_GB2312" w:cs="仿宋_GB2312" w:eastAsia="仿宋_GB2312"/>
              </w:rPr>
              <w:t>其他，下⼀年度⽀付（因电⼦系统设置原因⽆法修改，后⽂⽀付合同总⾦额指⼯程结算审计值），达到付款条件起60个工作日内，支付合同总金额的17.0%</w:t>
            </w:r>
            <w:r>
              <w:br/>
            </w:r>
            <w:r>
              <w:rPr>
                <w:rFonts w:ascii="仿宋_GB2312" w:hAnsi="仿宋_GB2312" w:cs="仿宋_GB2312" w:eastAsia="仿宋_GB2312"/>
              </w:rPr>
              <w:t>3、</w:t>
            </w:r>
            <w:r>
              <w:rPr>
                <w:rFonts w:ascii="仿宋_GB2312" w:hAnsi="仿宋_GB2312" w:cs="仿宋_GB2312" w:eastAsia="仿宋_GB2312"/>
              </w:rPr>
              <w:t>其他，质保期满拨款（因电⼦系统设置原因⽆法修改，后⽂⽀付合同总⾦额指⼯程结算审计值），达到付款条件起60个工作日内，支付合同总金额的3.0%</w:t>
            </w:r>
            <w:r>
              <w:br/>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质量要求：合格。</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安全目标：安全标准执行国家建筑施工安全检查标准及安全技术规范，达到合格标准。</w:t>
            </w:r>
          </w:p>
        </w:tc>
      </w:tr>
      <w:tr>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承包方式：包工包料。</w:t>
            </w:r>
          </w:p>
        </w:tc>
      </w:tr>
      <w:tr>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工程质量保修期：本项⽬按照国家《建设⼯程质量管理条例》中有关规定实⾏保修，具体约定质量保修期如下：①屋⾯防⽔⼯程、有防⽔要求的卫⽣间、房间和外墙⾯的防渗漏，为5年；②供热及供冷系统⼯程为2个采暖期及供冷期；③电⽓管线、给排⽔管道、设备安装和装修⼯程为2年；④装饰装修⼯程2年；⑤其他约定：本⼯程其他项⽬保修期为2年。注：法律法规、国家产品质量规范、行业标准等现行有效法律文件对质量保修期有特殊规定的同时须满足该规定，承包人有承诺延长质量保修期的，执行其承诺。</w:t>
            </w:r>
          </w:p>
        </w:tc>
      </w:tr>
      <w:tr>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工期要求：自合同签订之日起30日内完成工程量清单及图纸内的全部工程。</w:t>
            </w:r>
          </w:p>
        </w:tc>
      </w:tr>
    </w:tbl>
    <w:p>
      <w:pPr>
        <w:pStyle w:val="null5"/>
        <w:ind w:firstLine="480"/>
        <w:jc w:val="left"/>
        <w:outlineLvl w:val="2"/>
      </w:pPr>
      <w:r>
        <w:rPr>
          <w:rFonts w:ascii="仿宋_GB2312" w:hAnsi="仿宋_GB2312" w:cs="仿宋_GB2312" w:eastAsia="仿宋_GB2312"/>
          <w:sz w:val="28"/>
          <w:b/>
        </w:rPr>
        <w:t>3.4.其他要求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政府采购工程项目使用的建材属于《需求标准》明确为“必选类”的，应当全部采购和使用符合相关标准的绿色建材；属于《需求标准》明确为“可选类”的，选用绿色建材种类应不低于建筑项目涉及建材种类的40%。2、供应商结合市场情况，自主确定工程报价。 ①各供应商可以参照执行相关工程定额、取费标准及建设行政主管部门有关工程造价的规定，结合本单位的技术力量、管理水平、经济效益等因素，以统一工程量清单为依据计算工程预算价并确定工程磋商报价，供应商在确定工程报价时，不得弄虚作假，骗取成交。报价包括:材料价款、运输费、装卸费、施工、施工中的运输费、检测费、水电费、税费等一切费用均由施工方自负，直至工程竣工验收合格的全部价款，在报价时一并测算在内。 ②供应商必须严格按照采购代理机构下发的统一工程量清单内容及格式提供综合单价及总价，否则，按无效响应文件处理。3、本项目为固定单价结算。合同金额以最终报价为准，分项报价根据总报价下浮比例【（基础报价-最终报价）/基础报价】同比下调。工程量据实结算。4、投标截止时间后，成功提交响应文件的供应商符合磋商文件规定数量的，代理机构将启动响应文件解密程序，解密时间为30分钟；供应商应在规定的解密时间内，使用加密响应文件的数字证书进行响应文件解密。除因平台系统故障导致供应商未按时完成解密外，供应商未在规定的解密时间内完成解密的，按无效投标处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both"/>
      </w:pPr>
      <w:r>
        <w:rPr>
          <w:rFonts w:ascii="仿宋_GB2312" w:hAnsi="仿宋_GB2312" w:cs="仿宋_GB2312" w:eastAsia="仿宋_GB2312"/>
        </w:rPr>
        <w:t>磋商小组可以根据磋商文件和磋商情况实质性变动以下内容：</w:t>
      </w:r>
    </w:p>
    <w:p>
      <w:pPr>
        <w:pStyle w:val="null5"/>
        <w:ind w:firstLine="480"/>
        <w:jc w:val="both"/>
      </w:pPr>
      <w:r>
        <w:rPr>
          <w:rFonts w:ascii="仿宋_GB2312" w:hAnsi="仿宋_GB2312" w:cs="仿宋_GB2312" w:eastAsia="仿宋_GB2312"/>
        </w:rPr>
        <w:t>一、第三章“技术、服务及其他要求”中“3.2.技术要求”，“3.3.服务要求”：</w:t>
      </w:r>
    </w:p>
    <w:p>
      <w:pPr>
        <w:pStyle w:val="null5"/>
        <w:jc w:val="left"/>
      </w:pPr>
      <w:r>
        <w:rPr>
          <w:rFonts w:ascii="仿宋_GB2312" w:hAnsi="仿宋_GB2312" w:cs="仿宋_GB2312" w:eastAsia="仿宋_GB2312"/>
        </w:rPr>
        <w:t>详见第三章“技术、服务及其他要求”中“3.2.技术要求”，“3.3.服务要求 ”非带“★”实质性要求。</w:t>
      </w:r>
    </w:p>
    <w:p>
      <w:pPr>
        <w:pStyle w:val="null5"/>
        <w:ind w:firstLine="480"/>
        <w:jc w:val="both"/>
      </w:pPr>
      <w:r>
        <w:rPr>
          <w:rFonts w:ascii="仿宋_GB2312" w:hAnsi="仿宋_GB2312" w:cs="仿宋_GB2312" w:eastAsia="仿宋_GB2312"/>
        </w:rPr>
        <w:t>二、第七章“拟签订采购合同文本”：</w:t>
      </w:r>
    </w:p>
    <w:p>
      <w:pPr>
        <w:pStyle w:val="null5"/>
        <w:jc w:val="left"/>
      </w:pPr>
      <w:r>
        <w:rPr>
          <w:rFonts w:ascii="仿宋_GB2312" w:hAnsi="仿宋_GB2312" w:cs="仿宋_GB2312" w:eastAsia="仿宋_GB2312"/>
        </w:rPr>
        <w:t>详见第七章“拟签订采购合同文本”。</w:t>
      </w:r>
    </w:p>
    <w:p>
      <w:pPr>
        <w:pStyle w:val="null5"/>
        <w:ind w:firstLine="480"/>
        <w:jc w:val="both"/>
      </w:pPr>
      <w:r>
        <w:rPr>
          <w:rFonts w:ascii="仿宋_GB2312" w:hAnsi="仿宋_GB2312" w:cs="仿宋_GB2312" w:eastAsia="仿宋_GB2312"/>
        </w:rPr>
        <w:t>除以上内容外，磋商小组不得变动磋商文件中的其他内容。</w:t>
      </w:r>
    </w:p>
    <w:p>
      <w:pPr>
        <w:pStyle w:val="null5"/>
        <w:ind w:firstLine="480"/>
        <w:jc w:val="both"/>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ind w:firstLine="480"/>
        <w:jc w:val="both"/>
      </w:pPr>
      <w:r>
        <w:rPr>
          <w:rFonts w:ascii="仿宋_GB2312" w:hAnsi="仿宋_GB2312" w:cs="仿宋_GB2312" w:eastAsia="仿宋_GB2312"/>
        </w:rPr>
        <w:t>注：工程量清单不属于磋商过程中可以实质性变动的内容。</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一、根据《中华人民共和国政府采购法》《中华人民共和国政府采购法实施条例》等法律制度规定，结合本采购项目特点制定本次竞争性磋商评审办法。</w:t>
      </w:r>
    </w:p>
    <w:p>
      <w:pPr>
        <w:pStyle w:val="null5"/>
        <w:ind w:firstLine="480"/>
        <w:jc w:val="both"/>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both"/>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both"/>
      </w:pPr>
      <w:r>
        <w:rPr>
          <w:rFonts w:ascii="仿宋_GB2312" w:hAnsi="仿宋_GB2312" w:cs="仿宋_GB2312" w:eastAsia="仿宋_GB2312"/>
        </w:rPr>
        <w:t>四、本项目采取电子评审，通过交易系统完成评审工作。磋商小组成员、采购人、代理机构和供应商应当按照本磋商文件规定和交易 系统操作要求开展或者参加评审活动。</w:t>
      </w:r>
    </w:p>
    <w:p>
      <w:pPr>
        <w:pStyle w:val="null5"/>
        <w:ind w:firstLine="480"/>
        <w:jc w:val="both"/>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both"/>
      </w:pPr>
      <w:r>
        <w:rPr>
          <w:rFonts w:ascii="仿宋_GB2312" w:hAnsi="仿宋_GB2312" w:cs="仿宋_GB2312" w:eastAsia="仿宋_GB2312"/>
        </w:rPr>
        <w:t>一、本项目磋商小组成员人数应为 3 人以上单数，其中评审专家不得少于成员总数的三分之二。评审专家由代理机构采取随机方 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both"/>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both"/>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both"/>
      </w:pPr>
      <w:r>
        <w:rPr>
          <w:rFonts w:ascii="仿宋_GB2312" w:hAnsi="仿宋_GB2312" w:cs="仿宋_GB2312" w:eastAsia="仿宋_GB2312"/>
        </w:rPr>
        <w:t>四、磋商小组应当履行下列职责：</w:t>
      </w:r>
    </w:p>
    <w:p>
      <w:pPr>
        <w:pStyle w:val="null5"/>
        <w:ind w:firstLine="480"/>
        <w:jc w:val="both"/>
      </w:pPr>
      <w:r>
        <w:rPr>
          <w:rFonts w:ascii="仿宋_GB2312" w:hAnsi="仿宋_GB2312" w:cs="仿宋_GB2312" w:eastAsia="仿宋_GB2312"/>
        </w:rPr>
        <w:t>（一）熟悉和理解磋商文件；</w:t>
      </w:r>
    </w:p>
    <w:p>
      <w:pPr>
        <w:pStyle w:val="null5"/>
        <w:ind w:firstLine="480"/>
        <w:jc w:val="both"/>
      </w:pPr>
      <w:r>
        <w:rPr>
          <w:rFonts w:ascii="仿宋_GB2312" w:hAnsi="仿宋_GB2312" w:cs="仿宋_GB2312" w:eastAsia="仿宋_GB2312"/>
        </w:rPr>
        <w:t>（二）审查、评价供应商响应文件等是否满足磋商文件要求；</w:t>
      </w:r>
    </w:p>
    <w:p>
      <w:pPr>
        <w:pStyle w:val="null5"/>
        <w:ind w:firstLine="480"/>
        <w:jc w:val="both"/>
      </w:pPr>
      <w:r>
        <w:rPr>
          <w:rFonts w:ascii="仿宋_GB2312" w:hAnsi="仿宋_GB2312" w:cs="仿宋_GB2312" w:eastAsia="仿宋_GB2312"/>
        </w:rPr>
        <w:t>（三）对响应文件进行比较和评价；</w:t>
      </w:r>
    </w:p>
    <w:p>
      <w:pPr>
        <w:pStyle w:val="null5"/>
        <w:ind w:firstLine="480"/>
        <w:jc w:val="both"/>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both"/>
      </w:pPr>
      <w:r>
        <w:rPr>
          <w:rFonts w:ascii="仿宋_GB2312" w:hAnsi="仿宋_GB2312" w:cs="仿宋_GB2312" w:eastAsia="仿宋_GB2312"/>
        </w:rPr>
        <w:t>（五）推荐成交候选供应商，或者受采购人委托确定成交供应商；</w:t>
      </w:r>
    </w:p>
    <w:p>
      <w:pPr>
        <w:pStyle w:val="null5"/>
        <w:ind w:firstLine="480"/>
        <w:jc w:val="both"/>
      </w:pPr>
      <w:r>
        <w:rPr>
          <w:rFonts w:ascii="仿宋_GB2312" w:hAnsi="仿宋_GB2312" w:cs="仿宋_GB2312" w:eastAsia="仿宋_GB2312"/>
        </w:rPr>
        <w:t>（六）起草资格审查报告、磋商报告并进行签署；</w:t>
      </w:r>
    </w:p>
    <w:p>
      <w:pPr>
        <w:pStyle w:val="null5"/>
        <w:ind w:firstLine="480"/>
        <w:jc w:val="both"/>
      </w:pPr>
      <w:r>
        <w:rPr>
          <w:rFonts w:ascii="仿宋_GB2312" w:hAnsi="仿宋_GB2312" w:cs="仿宋_GB2312" w:eastAsia="仿宋_GB2312"/>
        </w:rPr>
        <w:t>（七）向采购人、代理机构或者有关部门报告磋商中非法干预评审工作的行为；</w:t>
      </w:r>
    </w:p>
    <w:p>
      <w:pPr>
        <w:pStyle w:val="null5"/>
        <w:ind w:firstLine="480"/>
        <w:jc w:val="both"/>
      </w:pPr>
      <w:r>
        <w:rPr>
          <w:rFonts w:ascii="仿宋_GB2312" w:hAnsi="仿宋_GB2312" w:cs="仿宋_GB2312" w:eastAsia="仿宋_GB2312"/>
        </w:rPr>
        <w:t>（八）按规定告知供应商，未实质性响应磋商文件的响应文件按无效响应处理；</w:t>
      </w:r>
    </w:p>
    <w:p>
      <w:pPr>
        <w:pStyle w:val="null5"/>
        <w:ind w:firstLine="480"/>
        <w:jc w:val="both"/>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both"/>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both"/>
      </w:pPr>
      <w:r>
        <w:rPr>
          <w:rFonts w:ascii="仿宋_GB2312" w:hAnsi="仿宋_GB2312" w:cs="仿宋_GB2312" w:eastAsia="仿宋_GB2312"/>
        </w:rPr>
        <w:t>5.3.2.停止评审的情形</w:t>
      </w:r>
    </w:p>
    <w:p>
      <w:pPr>
        <w:pStyle w:val="null5"/>
        <w:ind w:firstLine="480"/>
        <w:jc w:val="both"/>
      </w:pPr>
      <w:r>
        <w:rPr>
          <w:rFonts w:ascii="仿宋_GB2312" w:hAnsi="仿宋_GB2312" w:cs="仿宋_GB2312" w:eastAsia="仿宋_GB2312"/>
        </w:rPr>
        <w:t>本磋商文件有下列情形之一的，磋商小组应当停止评审：</w:t>
      </w:r>
    </w:p>
    <w:p>
      <w:pPr>
        <w:pStyle w:val="null5"/>
        <w:ind w:firstLine="480"/>
        <w:jc w:val="both"/>
      </w:pPr>
      <w:r>
        <w:rPr>
          <w:rFonts w:ascii="仿宋_GB2312" w:hAnsi="仿宋_GB2312" w:cs="仿宋_GB2312" w:eastAsia="仿宋_GB2312"/>
        </w:rPr>
        <w:t>一、磋商文件的规定存在歧义、重大缺陷，导致评审工作无法进行的；</w:t>
      </w:r>
    </w:p>
    <w:p>
      <w:pPr>
        <w:pStyle w:val="null5"/>
        <w:ind w:firstLine="480"/>
        <w:jc w:val="both"/>
      </w:pPr>
      <w:r>
        <w:rPr>
          <w:rFonts w:ascii="仿宋_GB2312" w:hAnsi="仿宋_GB2312" w:cs="仿宋_GB2312" w:eastAsia="仿宋_GB2312"/>
        </w:rPr>
        <w:t>二、磋商文件明显以不合理条件对供应商实行差别待遇或者歧视待遇的；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5"/>
        <w:ind w:firstLine="480"/>
        <w:jc w:val="both"/>
      </w:pPr>
      <w:r>
        <w:rPr>
          <w:rFonts w:ascii="仿宋_GB2312" w:hAnsi="仿宋_GB2312" w:cs="仿宋_GB2312" w:eastAsia="仿宋_GB2312"/>
        </w:rPr>
        <w:t>五、磋商文件载明的成交原则不合法的；</w:t>
      </w:r>
    </w:p>
    <w:p>
      <w:pPr>
        <w:pStyle w:val="null5"/>
        <w:ind w:firstLine="480"/>
        <w:jc w:val="both"/>
      </w:pPr>
      <w:r>
        <w:rPr>
          <w:rFonts w:ascii="仿宋_GB2312" w:hAnsi="仿宋_GB2312" w:cs="仿宋_GB2312" w:eastAsia="仿宋_GB2312"/>
        </w:rPr>
        <w:t>六、磋商文件规定的供应商资格条件与随机抽取设置的或邀请书中载明的供应商资格条件不一致的；</w:t>
      </w:r>
    </w:p>
    <w:p>
      <w:pPr>
        <w:pStyle w:val="null5"/>
        <w:ind w:firstLine="480"/>
        <w:jc w:val="both"/>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both"/>
      </w:pPr>
      <w:r>
        <w:rPr>
          <w:rFonts w:ascii="仿宋_GB2312" w:hAnsi="仿宋_GB2312" w:cs="仿宋_GB2312" w:eastAsia="仿宋_GB2312"/>
        </w:rPr>
        <w:t>5.3.3.资格审查</w:t>
      </w:r>
    </w:p>
    <w:p>
      <w:pPr>
        <w:pStyle w:val="null5"/>
        <w:ind w:firstLine="480"/>
        <w:jc w:val="both"/>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both"/>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供应商具有独立承担民事责任的能力</w:t>
            </w:r>
          </w:p>
        </w:tc>
        <w:tc>
          <w:tcPr>
            <w:tcW w:type="dxa" w:w="3322"/>
          </w:tcPr>
          <w:p>
            <w:pPr>
              <w:pStyle w:val="null5"/>
              <w:jc w:val="left"/>
            </w:pPr>
            <w:r>
              <w:rPr>
                <w:rFonts w:ascii="仿宋_GB2312" w:hAnsi="仿宋_GB2312" w:cs="仿宋_GB2312" w:eastAsia="仿宋_GB2312"/>
              </w:rPr>
              <w:t>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供应商具有良好的商业信誉和健全的财务会计制度</w:t>
            </w:r>
          </w:p>
        </w:tc>
        <w:tc>
          <w:tcPr>
            <w:tcW w:type="dxa" w:w="3322"/>
          </w:tcPr>
          <w:p>
            <w:pPr>
              <w:pStyle w:val="null5"/>
              <w:jc w:val="left"/>
            </w:pPr>
            <w:r>
              <w:rPr>
                <w:rFonts w:ascii="仿宋_GB2312" w:hAnsi="仿宋_GB2312" w:cs="仿宋_GB2312" w:eastAsia="仿宋_GB2312"/>
              </w:rPr>
              <w:t>提供2024年度或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供应商具有依法缴纳税收和社会保障资金的良好记录</w:t>
            </w:r>
          </w:p>
        </w:tc>
        <w:tc>
          <w:tcPr>
            <w:tcW w:type="dxa" w:w="3322"/>
          </w:tcPr>
          <w:p>
            <w:pPr>
              <w:pStyle w:val="null5"/>
              <w:jc w:val="left"/>
            </w:pPr>
            <w:r>
              <w:rPr>
                <w:rFonts w:ascii="仿宋_GB2312" w:hAnsi="仿宋_GB2312" w:cs="仿宋_GB2312" w:eastAsia="仿宋_GB2312"/>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供应商参加政府采购活动前三年内，在经营活动中没有重大违法记录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参加本次政府采购活动前近三年内在经营活动中没有重大违法记录的书面声明函。（提供原件扫描件或复印件加盖公章）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未被列入信用中国网站（www.creditchina.gov.cn）、中国政府采购网（www.ccgp.gov.cn）渠道信用记录失信被执行人、重大税收违法案件当事人名单、政府采购严重违法失信行为记录名单。本项由采购代理机构现场核查。</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both"/>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本采购包属于专门面向中小企业采购。</w:t>
            </w:r>
          </w:p>
        </w:tc>
        <w:tc>
          <w:tcPr>
            <w:tcW w:type="dxa" w:w="3322"/>
          </w:tcPr>
          <w:p>
            <w:pPr>
              <w:pStyle w:val="null5"/>
              <w:jc w:val="left"/>
            </w:pPr>
            <w:r>
              <w:rPr>
                <w:rFonts w:ascii="仿宋_GB2312" w:hAnsi="仿宋_GB2312" w:cs="仿宋_GB2312" w:eastAsia="仿宋_GB2312"/>
              </w:rPr>
              <w:t>本采购包为专门面向中小企业采购，供应商须提供中小企业声明函或监狱企业的证明文件或残疾人福利性单位声明函。监狱企业、残疾人福利性单位视同小型、微型企业。</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both"/>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供应商企业资质要求</w:t>
            </w:r>
          </w:p>
        </w:tc>
        <w:tc>
          <w:tcPr>
            <w:tcW w:type="dxa" w:w="3322"/>
          </w:tcPr>
          <w:p>
            <w:pPr>
              <w:pStyle w:val="null5"/>
              <w:jc w:val="left"/>
            </w:pPr>
            <w:r>
              <w:rPr>
                <w:rFonts w:ascii="仿宋_GB2312" w:hAnsi="仿宋_GB2312" w:cs="仿宋_GB2312" w:eastAsia="仿宋_GB2312"/>
              </w:rPr>
              <w:t>具有有效的建筑工程施工总承包三级（含）以上资质证书和安全生产许可证书，同时提供山东省住房城乡建设服务监管与信用信息综合平台（原山东省建筑市场监管与诚信信息一体化平台）资质信息验证通过（须体现供应商基本信息和资质信息）的网页截图。（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项目经理要求</w:t>
            </w:r>
          </w:p>
        </w:tc>
        <w:tc>
          <w:tcPr>
            <w:tcW w:type="dxa" w:w="3322"/>
          </w:tcPr>
          <w:p>
            <w:pPr>
              <w:pStyle w:val="null5"/>
              <w:jc w:val="left"/>
            </w:pPr>
            <w:r>
              <w:rPr>
                <w:rFonts w:ascii="仿宋_GB2312" w:hAnsi="仿宋_GB2312" w:cs="仿宋_GB2312" w:eastAsia="仿宋_GB2312"/>
              </w:rPr>
              <w:t>拟派项目经理具有建筑工程专业二级（含）以上建造师注册证书和有效的安全生产考核合格证书（B证），提供近一年来连续缴纳六个月的社会养老保险证明，出具项目经理无在建项目承诺书。有在建项目被更换的项目经理六个月内不得参与本项目投标。注：①社会养老保险证明是指提供能体现供应商单位名称和个人姓名同时加盖供应商公章的网上打印件，或能体现供应商单位名称和个人姓名同时加盖注册地社会劳动保险管理机构公章的社会养老保险缴纳证明，或能体现供应商单位名称和个人姓名同时加盖注册地社会劳动保险管理机构公章的花名册及缴费凭证。②若供应商拟投报的项目人员保险缴纳隶属上级行政事业主管部门的，由上级行政事业主管部门出具相关证明且附相应社会养老保险证明材料。③新成立的公司或公司资质发生合并的供应商根据实际情况提供相应的社会养老保险证明材料。④社会养老保险证明须为近一年来连续缴纳六个月及以上的社会养老保险证明材料。（提供原件扫描件或复印件加盖公章）</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both"/>
      </w:pPr>
      <w:r>
        <w:rPr>
          <w:rFonts w:ascii="仿宋_GB2312" w:hAnsi="仿宋_GB2312" w:cs="仿宋_GB2312" w:eastAsia="仿宋_GB2312"/>
        </w:rPr>
        <w:t>5.3.4.符合性审查</w:t>
      </w:r>
    </w:p>
    <w:p>
      <w:pPr>
        <w:pStyle w:val="null5"/>
        <w:ind w:firstLine="480"/>
        <w:jc w:val="both"/>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二、磋商小组应对供应商已标价工程量清单进行算术性复核，如果出现下列不一致的，按以下原则进行修正：</w:t>
      </w:r>
    </w:p>
    <w:p>
      <w:pPr>
        <w:pStyle w:val="null5"/>
        <w:ind w:firstLine="480"/>
        <w:jc w:val="both"/>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5"/>
        <w:ind w:firstLine="480"/>
        <w:jc w:val="both"/>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5"/>
        <w:ind w:firstLine="480"/>
        <w:jc w:val="both"/>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5"/>
        <w:ind w:firstLine="480"/>
        <w:jc w:val="both"/>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投标（响应）报价明细表、开标（报价）一览表、工程量清单报价</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农民工工资无拖欠承诺书</w:t>
            </w:r>
          </w:p>
        </w:tc>
        <w:tc>
          <w:tcPr>
            <w:tcW w:type="dxa" w:w="3322"/>
          </w:tcPr>
          <w:p>
            <w:pPr>
              <w:pStyle w:val="null5"/>
              <w:jc w:val="left"/>
            </w:pPr>
            <w:r>
              <w:rPr>
                <w:rFonts w:ascii="仿宋_GB2312" w:hAnsi="仿宋_GB2312" w:cs="仿宋_GB2312" w:eastAsia="仿宋_GB2312"/>
              </w:rPr>
              <w:t>提供农民工工资无拖欠承诺书。</w:t>
            </w:r>
          </w:p>
        </w:tc>
        <w:tc>
          <w:tcPr>
            <w:tcW w:type="dxa" w:w="1661"/>
          </w:tcPr>
          <w:p>
            <w:pPr>
              <w:pStyle w:val="null5"/>
              <w:jc w:val="left"/>
            </w:pPr>
            <w:r>
              <w:rPr>
                <w:rFonts w:ascii="仿宋_GB2312" w:hAnsi="仿宋_GB2312" w:cs="仿宋_GB2312" w:eastAsia="仿宋_GB2312"/>
              </w:rPr>
              <w:t>农民工工资无拖欠承诺书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法定代表人身份证明（民办非企、个体工商户提供负责人身份证明，自然人提供身份证）、授权委托书（委托代理人的须提供）</w:t>
            </w:r>
          </w:p>
        </w:tc>
        <w:tc>
          <w:tcPr>
            <w:tcW w:type="dxa" w:w="3322"/>
          </w:tcPr>
          <w:p>
            <w:pPr>
              <w:pStyle w:val="null5"/>
              <w:jc w:val="left"/>
            </w:pPr>
            <w:r>
              <w:rPr>
                <w:rFonts w:ascii="仿宋_GB2312" w:hAnsi="仿宋_GB2312" w:cs="仿宋_GB2312" w:eastAsia="仿宋_GB2312"/>
              </w:rPr>
              <w:t>提供法定代表人身份证明（民办非企、个体工商户提供负责人身份证明，自然人提供身份证）、授权委托书（委托代理人的须提供）</w:t>
            </w:r>
          </w:p>
        </w:tc>
        <w:tc>
          <w:tcPr>
            <w:tcW w:type="dxa" w:w="1661"/>
          </w:tcPr>
          <w:p>
            <w:pPr>
              <w:pStyle w:val="null5"/>
              <w:jc w:val="left"/>
            </w:pPr>
            <w:r>
              <w:rPr>
                <w:rFonts w:ascii="仿宋_GB2312" w:hAnsi="仿宋_GB2312" w:cs="仿宋_GB2312" w:eastAsia="仿宋_GB2312"/>
              </w:rPr>
              <w:t>法定代表人身份证明、法定代表人授权委托书</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商务偏离表、投标（响应）报价明细表、开标（报价）一览表、农民工工资无拖欠承诺书、工程量清单报价、响应函、不参与串通投标承诺书、供应商认为需要提交的其他商务文件、企业基本概况</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是否按磋商文件规定及附件格式要求制作、签署、盖章</w:t>
            </w:r>
          </w:p>
        </w:tc>
        <w:tc>
          <w:tcPr>
            <w:tcW w:type="dxa" w:w="3322"/>
          </w:tcPr>
          <w:p>
            <w:pPr>
              <w:pStyle w:val="null5"/>
              <w:jc w:val="left"/>
            </w:pPr>
            <w:r>
              <w:rPr>
                <w:rFonts w:ascii="仿宋_GB2312" w:hAnsi="仿宋_GB2312" w:cs="仿宋_GB2312" w:eastAsia="仿宋_GB2312"/>
              </w:rPr>
              <w:t>按磋商文件规定及附件格式要求制作、签署、盖章。</w:t>
            </w:r>
          </w:p>
        </w:tc>
        <w:tc>
          <w:tcPr>
            <w:tcW w:type="dxa" w:w="1661"/>
          </w:tcPr>
          <w:p>
            <w:pPr>
              <w:pStyle w:val="null5"/>
              <w:jc w:val="left"/>
            </w:pPr>
            <w:r>
              <w:rPr>
                <w:rFonts w:ascii="仿宋_GB2312" w:hAnsi="仿宋_GB2312" w:cs="仿宋_GB2312" w:eastAsia="仿宋_GB2312"/>
              </w:rPr>
              <w:t>投标（响应）报价明细表、开标（报价）一览表、农民工工资无拖欠承诺书、商务偏离表、封面、响应函、不参与串通投标承诺书、工程量清单报价、法定代表人身份证明、法定代表人授权委托书</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响应函</w:t>
            </w:r>
          </w:p>
        </w:tc>
        <w:tc>
          <w:tcPr>
            <w:tcW w:type="dxa" w:w="3322"/>
          </w:tcPr>
          <w:p>
            <w:pPr>
              <w:pStyle w:val="null5"/>
              <w:jc w:val="left"/>
            </w:pPr>
            <w:r>
              <w:rPr>
                <w:rFonts w:ascii="仿宋_GB2312" w:hAnsi="仿宋_GB2312" w:cs="仿宋_GB2312" w:eastAsia="仿宋_GB2312"/>
              </w:rPr>
              <w:t>按要求上传响应函。</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供应商之间⽆串通⾏为的情形</w:t>
            </w:r>
          </w:p>
        </w:tc>
        <w:tc>
          <w:tcPr>
            <w:tcW w:type="dxa" w:w="3322"/>
          </w:tcPr>
          <w:p>
            <w:pPr>
              <w:pStyle w:val="null5"/>
              <w:jc w:val="left"/>
            </w:pPr>
            <w:r>
              <w:rPr>
                <w:rFonts w:ascii="仿宋_GB2312" w:hAnsi="仿宋_GB2312" w:cs="仿宋_GB2312" w:eastAsia="仿宋_GB2312"/>
              </w:rPr>
              <w:t>提供不参与串通投标承诺书。</w:t>
            </w:r>
          </w:p>
        </w:tc>
        <w:tc>
          <w:tcPr>
            <w:tcW w:type="dxa" w:w="1661"/>
          </w:tcPr>
          <w:p>
            <w:pPr>
              <w:pStyle w:val="null5"/>
              <w:jc w:val="left"/>
            </w:pPr>
            <w:r>
              <w:rPr>
                <w:rFonts w:ascii="仿宋_GB2312" w:hAnsi="仿宋_GB2312" w:cs="仿宋_GB2312" w:eastAsia="仿宋_GB2312"/>
              </w:rPr>
              <w:t>不参与串通投标承诺书</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both"/>
      </w:pPr>
      <w:r>
        <w:rPr>
          <w:rFonts w:ascii="仿宋_GB2312" w:hAnsi="仿宋_GB2312" w:cs="仿宋_GB2312" w:eastAsia="仿宋_GB2312"/>
        </w:rPr>
        <w:t>5.3.5.磋商</w:t>
      </w:r>
    </w:p>
    <w:p>
      <w:pPr>
        <w:pStyle w:val="null5"/>
        <w:ind w:firstLine="480"/>
        <w:jc w:val="both"/>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both"/>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both"/>
      </w:pPr>
      <w:r>
        <w:rPr>
          <w:rFonts w:ascii="仿宋_GB2312" w:hAnsi="仿宋_GB2312" w:cs="仿宋_GB2312" w:eastAsia="仿宋_GB2312"/>
        </w:rPr>
        <w:t>三、磋商小组可以根据磋商文件和磋商情况实质性变动第四章约定的内容，但不得变动磋商文件中的其他内容。实质性变动的内容， 须经采购人代表确认。</w:t>
      </w:r>
    </w:p>
    <w:p>
      <w:pPr>
        <w:pStyle w:val="null5"/>
        <w:ind w:firstLine="480"/>
        <w:jc w:val="both"/>
      </w:pPr>
      <w:r>
        <w:rPr>
          <w:rFonts w:ascii="仿宋_GB2312" w:hAnsi="仿宋_GB2312" w:cs="仿宋_GB2312" w:eastAsia="仿宋_GB2312"/>
        </w:rPr>
        <w:t>四、对磋商文件作出的实质性变动是磋商文件的有效组成部分，磋商小组应通过交易系统，将变动情况通知所有参加磋商的供应商。磋商过程中，磋商小组可以根据磋商情况调整磋商轮次。</w:t>
      </w:r>
    </w:p>
    <w:p>
      <w:pPr>
        <w:pStyle w:val="null5"/>
        <w:ind w:firstLine="480"/>
        <w:jc w:val="both"/>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both"/>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both"/>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both"/>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both"/>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both"/>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both"/>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both"/>
      </w:pPr>
      <w:r>
        <w:rPr>
          <w:rFonts w:ascii="仿宋_GB2312" w:hAnsi="仿宋_GB2312" w:cs="仿宋_GB2312" w:eastAsia="仿宋_GB2312"/>
        </w:rPr>
        <w:t>三、最后报价提交后，供应商不得以任何理由撤回。</w:t>
      </w:r>
    </w:p>
    <w:p>
      <w:pPr>
        <w:pStyle w:val="null5"/>
        <w:ind w:firstLine="480"/>
        <w:jc w:val="both"/>
      </w:pPr>
      <w:r>
        <w:rPr>
          <w:rFonts w:ascii="仿宋_GB2312" w:hAnsi="仿宋_GB2312" w:cs="仿宋_GB2312" w:eastAsia="仿宋_GB2312"/>
        </w:rPr>
        <w:t>四、最后报价为有效报价应符合下列条件：</w:t>
      </w:r>
    </w:p>
    <w:p>
      <w:pPr>
        <w:pStyle w:val="null5"/>
        <w:ind w:firstLine="480"/>
        <w:jc w:val="both"/>
      </w:pPr>
      <w:r>
        <w:rPr>
          <w:rFonts w:ascii="仿宋_GB2312" w:hAnsi="仿宋_GB2312" w:cs="仿宋_GB2312" w:eastAsia="仿宋_GB2312"/>
        </w:rPr>
        <w:t>（一）供应商所提供的最后报价是在规定的时间内提交。</w:t>
      </w:r>
    </w:p>
    <w:p>
      <w:pPr>
        <w:pStyle w:val="null5"/>
        <w:ind w:firstLine="480"/>
        <w:jc w:val="both"/>
      </w:pPr>
      <w:r>
        <w:rPr>
          <w:rFonts w:ascii="仿宋_GB2312" w:hAnsi="仿宋_GB2312" w:cs="仿宋_GB2312" w:eastAsia="仿宋_GB2312"/>
        </w:rPr>
        <w:t>（二）供应商的最后报价应加盖供应商（法定名称）电子印章。</w:t>
      </w:r>
    </w:p>
    <w:p>
      <w:pPr>
        <w:pStyle w:val="null5"/>
        <w:ind w:firstLine="480"/>
        <w:jc w:val="both"/>
      </w:pPr>
      <w:r>
        <w:rPr>
          <w:rFonts w:ascii="仿宋_GB2312" w:hAnsi="仿宋_GB2312" w:cs="仿宋_GB2312" w:eastAsia="仿宋_GB2312"/>
        </w:rPr>
        <w:t>（三）供应商的最后报价应符合磋商文件的要求。</w:t>
      </w:r>
    </w:p>
    <w:p>
      <w:pPr>
        <w:pStyle w:val="null5"/>
        <w:ind w:firstLine="480"/>
        <w:jc w:val="both"/>
      </w:pPr>
      <w:r>
        <w:rPr>
          <w:rFonts w:ascii="仿宋_GB2312" w:hAnsi="仿宋_GB2312" w:cs="仿宋_GB2312" w:eastAsia="仿宋_GB2312"/>
        </w:rPr>
        <w:t>（四）最后报价唯一，且不高于最高限价。</w:t>
      </w:r>
    </w:p>
    <w:p>
      <w:pPr>
        <w:pStyle w:val="null5"/>
        <w:ind w:firstLine="480"/>
        <w:jc w:val="both"/>
      </w:pPr>
      <w:r>
        <w:rPr>
          <w:rFonts w:ascii="仿宋_GB2312" w:hAnsi="仿宋_GB2312" w:cs="仿宋_GB2312" w:eastAsia="仿宋_GB2312"/>
        </w:rPr>
        <w:t>五、最后报价出现下列情况的，除磋商文件另有规定外，按以下原则处理：</w:t>
      </w:r>
    </w:p>
    <w:p>
      <w:pPr>
        <w:pStyle w:val="null5"/>
        <w:ind w:firstLine="480"/>
        <w:jc w:val="both"/>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both"/>
      </w:pPr>
      <w:r>
        <w:rPr>
          <w:rFonts w:ascii="仿宋_GB2312" w:hAnsi="仿宋_GB2312" w:cs="仿宋_GB2312" w:eastAsia="仿宋_GB2312"/>
        </w:rPr>
        <w:t>（二）单价金额小数点或者百分比有明显错位的，应以总价为准，并修改单价；</w:t>
      </w:r>
    </w:p>
    <w:p>
      <w:pPr>
        <w:pStyle w:val="null5"/>
        <w:ind w:firstLine="480"/>
        <w:jc w:val="both"/>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both"/>
      </w:pPr>
      <w:r>
        <w:rPr>
          <w:rFonts w:ascii="仿宋_GB2312" w:hAnsi="仿宋_GB2312" w:cs="仿宋_GB2312" w:eastAsia="仿宋_GB2312"/>
        </w:rPr>
        <w:t>5.3.7.解释、澄清、说明的有关问题</w:t>
      </w:r>
    </w:p>
    <w:p>
      <w:pPr>
        <w:pStyle w:val="null5"/>
        <w:ind w:firstLine="480"/>
        <w:jc w:val="both"/>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both"/>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both"/>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both"/>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both"/>
      </w:pPr>
      <w:r>
        <w:rPr>
          <w:rFonts w:ascii="仿宋_GB2312" w:hAnsi="仿宋_GB2312" w:cs="仿宋_GB2312" w:eastAsia="仿宋_GB2312"/>
        </w:rPr>
        <w:t>5.3.8.比较与评价</w:t>
      </w:r>
    </w:p>
    <w:p>
      <w:pPr>
        <w:pStyle w:val="null5"/>
        <w:ind w:firstLine="480"/>
        <w:jc w:val="both"/>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both"/>
      </w:pPr>
      <w:r>
        <w:rPr>
          <w:rFonts w:ascii="仿宋_GB2312" w:hAnsi="仿宋_GB2312" w:cs="仿宋_GB2312" w:eastAsia="仿宋_GB2312"/>
        </w:rPr>
        <w:t>5.3.9.磋商小组复核</w:t>
      </w:r>
    </w:p>
    <w:p>
      <w:pPr>
        <w:pStyle w:val="null5"/>
        <w:ind w:firstLine="480"/>
        <w:jc w:val="both"/>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both"/>
      </w:pPr>
      <w:r>
        <w:rPr>
          <w:rFonts w:ascii="仿宋_GB2312" w:hAnsi="仿宋_GB2312" w:cs="仿宋_GB2312" w:eastAsia="仿宋_GB2312"/>
        </w:rPr>
        <w:t>5.3.10.代理机构现场复核评审结果</w:t>
      </w:r>
    </w:p>
    <w:p>
      <w:pPr>
        <w:pStyle w:val="null5"/>
        <w:ind w:firstLine="480"/>
        <w:jc w:val="both"/>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both"/>
      </w:pPr>
      <w:r>
        <w:rPr>
          <w:rFonts w:ascii="仿宋_GB2312" w:hAnsi="仿宋_GB2312" w:cs="仿宋_GB2312" w:eastAsia="仿宋_GB2312"/>
        </w:rPr>
        <w:t>（一）资格审查认定错误的；</w:t>
      </w:r>
    </w:p>
    <w:p>
      <w:pPr>
        <w:pStyle w:val="null5"/>
        <w:ind w:firstLine="480"/>
        <w:jc w:val="both"/>
      </w:pPr>
      <w:r>
        <w:rPr>
          <w:rFonts w:ascii="仿宋_GB2312" w:hAnsi="仿宋_GB2312" w:cs="仿宋_GB2312" w:eastAsia="仿宋_GB2312"/>
        </w:rPr>
        <w:t>（二）分值汇总计算错误的；</w:t>
      </w:r>
    </w:p>
    <w:p>
      <w:pPr>
        <w:pStyle w:val="null5"/>
        <w:ind w:firstLine="480"/>
        <w:jc w:val="both"/>
      </w:pPr>
      <w:r>
        <w:rPr>
          <w:rFonts w:ascii="仿宋_GB2312" w:hAnsi="仿宋_GB2312" w:cs="仿宋_GB2312" w:eastAsia="仿宋_GB2312"/>
        </w:rPr>
        <w:t>（三）分项评分超出评分标准范围的；</w:t>
      </w:r>
    </w:p>
    <w:p>
      <w:pPr>
        <w:pStyle w:val="null5"/>
        <w:ind w:firstLine="480"/>
        <w:jc w:val="both"/>
      </w:pPr>
      <w:r>
        <w:rPr>
          <w:rFonts w:ascii="仿宋_GB2312" w:hAnsi="仿宋_GB2312" w:cs="仿宋_GB2312" w:eastAsia="仿宋_GB2312"/>
        </w:rPr>
        <w:t>（四）客观评分不一致的。</w:t>
      </w:r>
    </w:p>
    <w:p>
      <w:pPr>
        <w:pStyle w:val="null5"/>
        <w:ind w:firstLine="480"/>
        <w:jc w:val="both"/>
      </w:pPr>
      <w:r>
        <w:rPr>
          <w:rFonts w:ascii="仿宋_GB2312" w:hAnsi="仿宋_GB2312" w:cs="仿宋_GB2312" w:eastAsia="仿宋_GB2312"/>
        </w:rPr>
        <w:t>二、磋商小组采纳代理机构书面建议的，应当按照规定现场通过交易系统修改评审结果或者重新评审，并在磋商报告中详细记载有关 事宜；不采纳代理机构书面建议的，应当书面说明理由。代理机构书面建议未被磋商小组采纳的，应当按照规定程序要求继续组织实施采 购活动，不得擅自中止采购活动。代理机构认为磋商小组评审结果不合法的，应当书面报告采购项目同级财政部门依法处理。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三、代理机构复核过程中，磋商小组成员不得离开评审现场。</w:t>
      </w:r>
    </w:p>
    <w:p>
      <w:pPr>
        <w:pStyle w:val="null5"/>
        <w:ind w:firstLine="480"/>
        <w:jc w:val="both"/>
      </w:pPr>
      <w:r>
        <w:rPr>
          <w:rFonts w:ascii="仿宋_GB2312" w:hAnsi="仿宋_GB2312" w:cs="仿宋_GB2312" w:eastAsia="仿宋_GB2312"/>
        </w:rPr>
        <w:t>四、除资格审查认定错误和价格计算错误外，采购人或者代理机构不得以任何理由组织重新评审。代理机构发现磋商小组未按照磋商 文件规定的评定成交的标准进行评审的，应当重新开展采购活动，并同时书面报告项目同级财政部门。</w:t>
      </w:r>
    </w:p>
    <w:p>
      <w:pPr>
        <w:pStyle w:val="null5"/>
        <w:ind w:firstLine="480"/>
        <w:jc w:val="both"/>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w:t>
      </w:r>
    </w:p>
    <w:p>
      <w:pPr>
        <w:pStyle w:val="null5"/>
        <w:ind w:firstLine="480"/>
        <w:jc w:val="both"/>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both"/>
      </w:pPr>
      <w:r>
        <w:rPr>
          <w:rFonts w:ascii="仿宋_GB2312" w:hAnsi="仿宋_GB2312" w:cs="仿宋_GB2312" w:eastAsia="仿宋_GB2312"/>
        </w:rPr>
        <w:t>5.3.12.出具磋商报告</w:t>
      </w:r>
    </w:p>
    <w:p>
      <w:pPr>
        <w:pStyle w:val="null5"/>
        <w:ind w:firstLine="480"/>
        <w:jc w:val="both"/>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both"/>
      </w:pPr>
      <w:r>
        <w:rPr>
          <w:rFonts w:ascii="仿宋_GB2312" w:hAnsi="仿宋_GB2312" w:cs="仿宋_GB2312" w:eastAsia="仿宋_GB2312"/>
        </w:rPr>
        <w:t>一、邀请供应商参加采购活动的具体方式和相关情况，以及参加采购活动的供应商名单；</w:t>
      </w:r>
    </w:p>
    <w:p>
      <w:pPr>
        <w:pStyle w:val="null5"/>
        <w:ind w:firstLine="480"/>
        <w:jc w:val="both"/>
      </w:pPr>
      <w:r>
        <w:rPr>
          <w:rFonts w:ascii="仿宋_GB2312" w:hAnsi="仿宋_GB2312" w:cs="仿宋_GB2312" w:eastAsia="仿宋_GB2312"/>
        </w:rPr>
        <w:t>二、磋商日期和地点，磋商小组成员名单；</w:t>
      </w:r>
    </w:p>
    <w:p>
      <w:pPr>
        <w:pStyle w:val="null5"/>
        <w:ind w:firstLine="480"/>
        <w:jc w:val="both"/>
      </w:pPr>
      <w:r>
        <w:rPr>
          <w:rFonts w:ascii="仿宋_GB2312" w:hAnsi="仿宋_GB2312" w:cs="仿宋_GB2312" w:eastAsia="仿宋_GB2312"/>
        </w:rPr>
        <w:t>三、参加报价的供应商名单及报价情况和未参加报价的供应商名单及原因；</w:t>
      </w:r>
    </w:p>
    <w:p>
      <w:pPr>
        <w:pStyle w:val="null5"/>
        <w:ind w:firstLine="480"/>
        <w:jc w:val="both"/>
      </w:pPr>
      <w:r>
        <w:rPr>
          <w:rFonts w:ascii="仿宋_GB2312" w:hAnsi="仿宋_GB2312" w:cs="仿宋_GB2312" w:eastAsia="仿宋_GB2312"/>
        </w:rPr>
        <w:t>四、变动磋商文件实质性内容的有关资料及记录；</w:t>
      </w:r>
    </w:p>
    <w:p>
      <w:pPr>
        <w:pStyle w:val="null5"/>
        <w:ind w:firstLine="480"/>
        <w:jc w:val="both"/>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both"/>
      </w:pPr>
      <w:r>
        <w:rPr>
          <w:rFonts w:ascii="仿宋_GB2312" w:hAnsi="仿宋_GB2312" w:cs="仿宋_GB2312" w:eastAsia="仿宋_GB2312"/>
        </w:rPr>
        <w:t>六、磋商情况记录和说明，包括对供应商的资格审查情况、供应商响应文件磋商情况等；</w:t>
      </w:r>
    </w:p>
    <w:p>
      <w:pPr>
        <w:pStyle w:val="null5"/>
        <w:ind w:firstLine="480"/>
        <w:jc w:val="both"/>
      </w:pPr>
      <w:r>
        <w:rPr>
          <w:rFonts w:ascii="仿宋_GB2312" w:hAnsi="仿宋_GB2312" w:cs="仿宋_GB2312" w:eastAsia="仿宋_GB2312"/>
        </w:rPr>
        <w:t>七、推荐的成交候选供应商名单及理由。</w:t>
      </w:r>
    </w:p>
    <w:p>
      <w:pPr>
        <w:pStyle w:val="null5"/>
        <w:ind w:firstLine="480"/>
        <w:jc w:val="both"/>
      </w:pPr>
      <w:r>
        <w:rPr>
          <w:rFonts w:ascii="仿宋_GB2312" w:hAnsi="仿宋_GB2312" w:cs="仿宋_GB2312" w:eastAsia="仿宋_GB2312"/>
        </w:rPr>
        <w:t>磋商报告应当由磋商小组全体人员签字或加盖电子印章认可。磋商小组成员对磋商报告有异议的，磋商小组按照少数服从多数的原则 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both"/>
      </w:pPr>
      <w:r>
        <w:rPr>
          <w:rFonts w:ascii="仿宋_GB2312" w:hAnsi="仿宋_GB2312" w:cs="仿宋_GB2312" w:eastAsia="仿宋_GB2312"/>
        </w:rPr>
        <w:t>5.3.13.评审争议处理规则</w:t>
      </w:r>
    </w:p>
    <w:p>
      <w:pPr>
        <w:pStyle w:val="null5"/>
        <w:ind w:firstLine="480"/>
        <w:jc w:val="both"/>
      </w:pPr>
      <w:r>
        <w:rPr>
          <w:rFonts w:ascii="仿宋_GB2312" w:hAnsi="仿宋_GB2312" w:cs="仿宋_GB2312" w:eastAsia="仿宋_GB2312"/>
        </w:rPr>
        <w:t>磋商小组在磋商过程中，对于资格审查、符合性审查、对供应商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both"/>
      </w:pPr>
      <w:r>
        <w:rPr>
          <w:rFonts w:ascii="仿宋_GB2312" w:hAnsi="仿宋_GB2312" w:cs="仿宋_GB2312" w:eastAsia="仿宋_GB2312"/>
        </w:rPr>
        <w:t>5.4.1.评审方法</w:t>
      </w:r>
    </w:p>
    <w:p>
      <w:pPr>
        <w:pStyle w:val="null5"/>
        <w:ind w:firstLine="480"/>
        <w:jc w:val="both"/>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both"/>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技术部分82.00分</w:t>
            </w:r>
          </w:p>
          <w:p>
            <w:pPr>
              <w:pStyle w:val="null5"/>
              <w:jc w:val="left"/>
            </w:pPr>
            <w:r>
              <w:rPr>
                <w:rFonts w:ascii="仿宋_GB2312" w:hAnsi="仿宋_GB2312" w:cs="仿宋_GB2312" w:eastAsia="仿宋_GB2312"/>
              </w:rPr>
              <w:t>商务部分8.00分</w:t>
            </w:r>
          </w:p>
          <w:p>
            <w:pPr>
              <w:pStyle w:val="null5"/>
              <w:jc w:val="left"/>
            </w:pPr>
            <w:r>
              <w:rPr>
                <w:rFonts w:ascii="仿宋_GB2312" w:hAnsi="仿宋_GB2312" w:cs="仿宋_GB2312" w:eastAsia="仿宋_GB2312"/>
              </w:rPr>
              <w:t>报价得分10.00分</w:t>
            </w:r>
          </w:p>
          <w:p>
            <w:pPr>
              <w:pStyle w:val="null5"/>
              <w:jc w:val="left"/>
            </w:pPr>
            <w:r>
              <w:rPr>
                <w:rFonts w:ascii="仿宋_GB2312" w:hAnsi="仿宋_GB2312" w:cs="仿宋_GB2312" w:eastAsia="仿宋_GB2312"/>
              </w:rPr>
              <w:t>附加分9.20分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施工方案</w:t>
            </w:r>
          </w:p>
        </w:tc>
        <w:tc>
          <w:tcPr>
            <w:tcW w:type="dxa" w:w="2575"/>
          </w:tcPr>
          <w:p>
            <w:pPr>
              <w:pStyle w:val="null5"/>
              <w:jc w:val="left"/>
            </w:pPr>
            <w:r>
              <w:rPr>
                <w:rFonts w:ascii="仿宋_GB2312" w:hAnsi="仿宋_GB2312" w:cs="仿宋_GB2312" w:eastAsia="仿宋_GB2312"/>
              </w:rPr>
              <w:t>磋商小组根据施工方案及降低工程造价的主要措施进行综合评审，酌情打分，本项满分12分。存在瑕疵或不足的以0.5分为单位进行扣减，扣完为止。无此项内容的，本项得0分。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施工方案</w:t>
            </w:r>
          </w:p>
        </w:tc>
      </w:tr>
      <w:tr>
        <w:tc>
          <w:tcPr>
            <w:tcW w:type="dxa" w:w="831"/>
            <w:vMerge/>
          </w:tcPr>
          <w:p/>
        </w:tc>
        <w:tc>
          <w:tcPr>
            <w:tcW w:type="dxa" w:w="1661"/>
          </w:tcPr>
          <w:p>
            <w:pPr>
              <w:pStyle w:val="null5"/>
              <w:jc w:val="left"/>
            </w:pPr>
            <w:r>
              <w:rPr>
                <w:rFonts w:ascii="仿宋_GB2312" w:hAnsi="仿宋_GB2312" w:cs="仿宋_GB2312" w:eastAsia="仿宋_GB2312"/>
              </w:rPr>
              <w:t>项目管理班子配备</w:t>
            </w:r>
          </w:p>
        </w:tc>
        <w:tc>
          <w:tcPr>
            <w:tcW w:type="dxa" w:w="2575"/>
          </w:tcPr>
          <w:p>
            <w:pPr>
              <w:pStyle w:val="null5"/>
              <w:jc w:val="left"/>
            </w:pPr>
            <w:r>
              <w:rPr>
                <w:rFonts w:ascii="仿宋_GB2312" w:hAnsi="仿宋_GB2312" w:cs="仿宋_GB2312" w:eastAsia="仿宋_GB2312"/>
              </w:rPr>
              <w:t>磋商小组根据项目部人员的组织管理机构、岗位设置情况、专业搭配进行综合评审，酌情打分，本项满分12分。存在瑕疵或不足的以0.5分为单位进行扣减，扣完为止。无此项内容的，本项得0分。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项目管理班子配备</w:t>
            </w:r>
          </w:p>
        </w:tc>
      </w:tr>
      <w:tr>
        <w:tc>
          <w:tcPr>
            <w:tcW w:type="dxa" w:w="831"/>
            <w:vMerge/>
          </w:tcPr>
          <w:p/>
        </w:tc>
        <w:tc>
          <w:tcPr>
            <w:tcW w:type="dxa" w:w="1661"/>
          </w:tcPr>
          <w:p>
            <w:pPr>
              <w:pStyle w:val="null5"/>
              <w:jc w:val="left"/>
            </w:pPr>
            <w:r>
              <w:rPr>
                <w:rFonts w:ascii="仿宋_GB2312" w:hAnsi="仿宋_GB2312" w:cs="仿宋_GB2312" w:eastAsia="仿宋_GB2312"/>
              </w:rPr>
              <w:t>质量保证措施</w:t>
            </w:r>
          </w:p>
        </w:tc>
        <w:tc>
          <w:tcPr>
            <w:tcW w:type="dxa" w:w="2575"/>
          </w:tcPr>
          <w:p>
            <w:pPr>
              <w:pStyle w:val="null5"/>
              <w:jc w:val="left"/>
            </w:pPr>
            <w:r>
              <w:rPr>
                <w:rFonts w:ascii="仿宋_GB2312" w:hAnsi="仿宋_GB2312" w:cs="仿宋_GB2312" w:eastAsia="仿宋_GB2312"/>
              </w:rPr>
              <w:t>磋商小组根据确保工程质量的技术组织措施进行综合评审，酌情打分，本项满分12分。存在瑕疵或不足的以0.5分为单位进行扣减，扣完为止。无此项内容的，本项得0分。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质量保证措施</w:t>
            </w:r>
          </w:p>
        </w:tc>
      </w:tr>
      <w:tr>
        <w:tc>
          <w:tcPr>
            <w:tcW w:type="dxa" w:w="831"/>
            <w:vMerge/>
          </w:tcPr>
          <w:p/>
        </w:tc>
        <w:tc>
          <w:tcPr>
            <w:tcW w:type="dxa" w:w="1661"/>
          </w:tcPr>
          <w:p>
            <w:pPr>
              <w:pStyle w:val="null5"/>
              <w:jc w:val="left"/>
            </w:pPr>
            <w:r>
              <w:rPr>
                <w:rFonts w:ascii="仿宋_GB2312" w:hAnsi="仿宋_GB2312" w:cs="仿宋_GB2312" w:eastAsia="仿宋_GB2312"/>
              </w:rPr>
              <w:t>安全文明施工措施</w:t>
            </w:r>
          </w:p>
        </w:tc>
        <w:tc>
          <w:tcPr>
            <w:tcW w:type="dxa" w:w="2575"/>
          </w:tcPr>
          <w:p>
            <w:pPr>
              <w:pStyle w:val="null5"/>
              <w:jc w:val="left"/>
            </w:pPr>
            <w:r>
              <w:rPr>
                <w:rFonts w:ascii="仿宋_GB2312" w:hAnsi="仿宋_GB2312" w:cs="仿宋_GB2312" w:eastAsia="仿宋_GB2312"/>
              </w:rPr>
              <w:t>磋商小组根据确保安全生产、文明施工、环境保护、扬尘污染的技术组织措施进行综合评审，酌情打分，本项满分12分。存在瑕疵或不足的以0.5分为单位进行扣减，扣完为止。无此项内容的，本项得0分。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安全文明施工措施</w:t>
            </w:r>
          </w:p>
        </w:tc>
      </w:tr>
      <w:tr>
        <w:tc>
          <w:tcPr>
            <w:tcW w:type="dxa" w:w="831"/>
            <w:vMerge/>
          </w:tcPr>
          <w:p/>
        </w:tc>
        <w:tc>
          <w:tcPr>
            <w:tcW w:type="dxa" w:w="1661"/>
          </w:tcPr>
          <w:p>
            <w:pPr>
              <w:pStyle w:val="null5"/>
              <w:jc w:val="left"/>
            </w:pPr>
            <w:r>
              <w:rPr>
                <w:rFonts w:ascii="仿宋_GB2312" w:hAnsi="仿宋_GB2312" w:cs="仿宋_GB2312" w:eastAsia="仿宋_GB2312"/>
              </w:rPr>
              <w:t>工期安排</w:t>
            </w:r>
          </w:p>
        </w:tc>
        <w:tc>
          <w:tcPr>
            <w:tcW w:type="dxa" w:w="2575"/>
          </w:tcPr>
          <w:p>
            <w:pPr>
              <w:pStyle w:val="null5"/>
              <w:jc w:val="left"/>
            </w:pPr>
            <w:r>
              <w:rPr>
                <w:rFonts w:ascii="仿宋_GB2312" w:hAnsi="仿宋_GB2312" w:cs="仿宋_GB2312" w:eastAsia="仿宋_GB2312"/>
              </w:rPr>
              <w:t>磋商小组根据总进度工期安排及进度网络图、进度节点控制阶段划分及节点完成时间进行综合评审，酌情打分，本项满分12分。存在瑕疵或不足的以0.5分为单位进行扣减，扣完为止。无此项内容的，本项得0分。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工期安排</w:t>
            </w:r>
          </w:p>
        </w:tc>
      </w:tr>
      <w:tr>
        <w:tc>
          <w:tcPr>
            <w:tcW w:type="dxa" w:w="831"/>
            <w:vMerge/>
          </w:tcPr>
          <w:p/>
        </w:tc>
        <w:tc>
          <w:tcPr>
            <w:tcW w:type="dxa" w:w="1661"/>
          </w:tcPr>
          <w:p>
            <w:pPr>
              <w:pStyle w:val="null5"/>
              <w:jc w:val="left"/>
            </w:pPr>
            <w:r>
              <w:rPr>
                <w:rFonts w:ascii="仿宋_GB2312" w:hAnsi="仿宋_GB2312" w:cs="仿宋_GB2312" w:eastAsia="仿宋_GB2312"/>
              </w:rPr>
              <w:t>成品保护措施</w:t>
            </w:r>
          </w:p>
        </w:tc>
        <w:tc>
          <w:tcPr>
            <w:tcW w:type="dxa" w:w="2575"/>
          </w:tcPr>
          <w:p>
            <w:pPr>
              <w:pStyle w:val="null5"/>
              <w:jc w:val="left"/>
            </w:pPr>
            <w:r>
              <w:rPr>
                <w:rFonts w:ascii="仿宋_GB2312" w:hAnsi="仿宋_GB2312" w:cs="仿宋_GB2312" w:eastAsia="仿宋_GB2312"/>
              </w:rPr>
              <w:t>磋商小组根据成品保护和工程保修工作的管理措施进行综合评审，酌情打分，本项满分11分。存在瑕疵或不足的以0.5分为单位进行扣减，扣完为止。无此项内容的，本项得0分。</w:t>
            </w:r>
          </w:p>
        </w:tc>
        <w:tc>
          <w:tcPr>
            <w:tcW w:type="dxa" w:w="831"/>
          </w:tcPr>
          <w:p>
            <w:pPr>
              <w:pStyle w:val="null5"/>
              <w:jc w:val="center"/>
            </w:pPr>
            <w:r>
              <w:rPr>
                <w:rFonts w:ascii="仿宋_GB2312" w:hAnsi="仿宋_GB2312" w:cs="仿宋_GB2312" w:eastAsia="仿宋_GB2312"/>
              </w:rPr>
              <w:t>11.0000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成品保护措施</w:t>
            </w:r>
          </w:p>
        </w:tc>
      </w:tr>
      <w:tr>
        <w:tc>
          <w:tcPr>
            <w:tcW w:type="dxa" w:w="831"/>
            <w:vMerge/>
          </w:tcPr>
          <w:p/>
        </w:tc>
        <w:tc>
          <w:tcPr>
            <w:tcW w:type="dxa" w:w="1661"/>
          </w:tcPr>
          <w:p>
            <w:pPr>
              <w:pStyle w:val="null5"/>
              <w:jc w:val="left"/>
            </w:pPr>
            <w:r>
              <w:rPr>
                <w:rFonts w:ascii="仿宋_GB2312" w:hAnsi="仿宋_GB2312" w:cs="仿宋_GB2312" w:eastAsia="仿宋_GB2312"/>
              </w:rPr>
              <w:t>主要材料保证措施</w:t>
            </w:r>
          </w:p>
        </w:tc>
        <w:tc>
          <w:tcPr>
            <w:tcW w:type="dxa" w:w="2575"/>
          </w:tcPr>
          <w:p>
            <w:pPr>
              <w:pStyle w:val="null5"/>
              <w:jc w:val="left"/>
            </w:pPr>
            <w:r>
              <w:rPr>
                <w:rFonts w:ascii="仿宋_GB2312" w:hAnsi="仿宋_GB2312" w:cs="仿宋_GB2312" w:eastAsia="仿宋_GB2312"/>
              </w:rPr>
              <w:t>磋商小组根据工程主要材料的规格、型号、质量情况及保证措施进行综合评审，酌情打分，本项满分11分。存在瑕疵或不足的以0.5分为单位进行扣减，扣完为止。无此项内容的，本项得0分。</w:t>
            </w:r>
          </w:p>
        </w:tc>
        <w:tc>
          <w:tcPr>
            <w:tcW w:type="dxa" w:w="831"/>
          </w:tcPr>
          <w:p>
            <w:pPr>
              <w:pStyle w:val="null5"/>
              <w:jc w:val="center"/>
            </w:pPr>
            <w:r>
              <w:rPr>
                <w:rFonts w:ascii="仿宋_GB2312" w:hAnsi="仿宋_GB2312" w:cs="仿宋_GB2312" w:eastAsia="仿宋_GB2312"/>
              </w:rPr>
              <w:t>11.0000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主要材料保证措施</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业绩</w:t>
            </w:r>
          </w:p>
        </w:tc>
        <w:tc>
          <w:tcPr>
            <w:tcW w:type="dxa" w:w="2575"/>
          </w:tcPr>
          <w:p>
            <w:pPr>
              <w:pStyle w:val="null5"/>
              <w:jc w:val="left"/>
            </w:pPr>
            <w:r>
              <w:rPr>
                <w:rFonts w:ascii="仿宋_GB2312" w:hAnsi="仿宋_GB2312" w:cs="仿宋_GB2312" w:eastAsia="仿宋_GB2312"/>
              </w:rPr>
              <w:t>供应商自2023年1月1日（含）以来（以合同签订时间为准）完成类似项目业绩的，每个得1分，本项最高得3分。 项目业绩必须同时提供：①采购合同；②验收证明材料。 [注：同一项目一次或多次签订的合同的视为一个项目，不重复累计。] 若供应商提供虚假业绩资料，采购人有权取消其成交资格，并承担相应后果。 以上资料中所涉及的项目名称、采购内容、合同金额应相符，否则，磋商小组一律不予认可。提供资料不全或不符合磋商文件要求的，磋商小组一律不予认可。 供应商提供的以上业绩资料扫描件须按磋商文件编制要求全部编制在响应文件中并加盖供应商电子签章。评标时由磋商小组进行评审，否则一律不予认可。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业绩一览表及证明材料</w:t>
            </w:r>
          </w:p>
        </w:tc>
      </w:tr>
      <w:tr>
        <w:tc>
          <w:tcPr>
            <w:tcW w:type="dxa" w:w="831"/>
            <w:vMerge/>
          </w:tcPr>
          <w:p/>
        </w:tc>
        <w:tc>
          <w:tcPr>
            <w:tcW w:type="dxa" w:w="1661"/>
          </w:tcPr>
          <w:p>
            <w:pPr>
              <w:pStyle w:val="null5"/>
              <w:jc w:val="left"/>
            </w:pPr>
            <w:r>
              <w:rPr>
                <w:rFonts w:ascii="仿宋_GB2312" w:hAnsi="仿宋_GB2312" w:cs="仿宋_GB2312" w:eastAsia="仿宋_GB2312"/>
              </w:rPr>
              <w:t>工程质量保修期</w:t>
            </w:r>
          </w:p>
        </w:tc>
        <w:tc>
          <w:tcPr>
            <w:tcW w:type="dxa" w:w="2575"/>
          </w:tcPr>
          <w:p>
            <w:pPr>
              <w:pStyle w:val="null5"/>
              <w:jc w:val="left"/>
            </w:pPr>
            <w:r>
              <w:rPr>
                <w:rFonts w:ascii="仿宋_GB2312" w:hAnsi="仿宋_GB2312" w:cs="仿宋_GB2312" w:eastAsia="仿宋_GB2312"/>
              </w:rPr>
              <w:t>工程质量保修期在满足磋商文件要求的基础上延长一年得2分，最多得2分。</w:t>
            </w:r>
          </w:p>
        </w:tc>
        <w:tc>
          <w:tcPr>
            <w:tcW w:type="dxa" w:w="831"/>
          </w:tcPr>
          <w:p>
            <w:pPr>
              <w:pStyle w:val="null5"/>
              <w:jc w:val="center"/>
            </w:pPr>
            <w:r>
              <w:rPr>
                <w:rFonts w:ascii="仿宋_GB2312" w:hAnsi="仿宋_GB2312" w:cs="仿宋_GB2312" w:eastAsia="仿宋_GB2312"/>
              </w:rPr>
              <w:t>2.0000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工程质量保修期</w:t>
            </w:r>
          </w:p>
        </w:tc>
      </w:tr>
      <w:tr>
        <w:tc>
          <w:tcPr>
            <w:tcW w:type="dxa" w:w="831"/>
            <w:vMerge/>
          </w:tcPr>
          <w:p/>
        </w:tc>
        <w:tc>
          <w:tcPr>
            <w:tcW w:type="dxa" w:w="1661"/>
          </w:tcPr>
          <w:p>
            <w:pPr>
              <w:pStyle w:val="null5"/>
              <w:jc w:val="left"/>
            </w:pPr>
            <w:r>
              <w:rPr>
                <w:rFonts w:ascii="仿宋_GB2312" w:hAnsi="仿宋_GB2312" w:cs="仿宋_GB2312" w:eastAsia="仿宋_GB2312"/>
              </w:rPr>
              <w:t>全生命周期成本</w:t>
            </w:r>
          </w:p>
        </w:tc>
        <w:tc>
          <w:tcPr>
            <w:tcW w:type="dxa" w:w="2575"/>
          </w:tcPr>
          <w:p>
            <w:pPr>
              <w:pStyle w:val="null5"/>
              <w:jc w:val="left"/>
            </w:pPr>
            <w:r>
              <w:rPr>
                <w:rFonts w:ascii="仿宋_GB2312" w:hAnsi="仿宋_GB2312" w:cs="仿宋_GB2312" w:eastAsia="仿宋_GB2312"/>
              </w:rPr>
              <w:t>对成本构成、金额及计算依据等全生命周期成本进行评价，本项最高得3分。每有一处瑕疵或不完善扣0.5分，扣完为止，缺项不得分。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项目全生命周期成本分析</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山东石油化工学院教学院、实验室等维修响应报价低于全部通过符合性审查供应商响应报价平均值50%的，即山东石油化工学院教学院、实验室等维修响应报价&lt;全部通过符合性审查供应商响应报价平均值×50%。 （2）山东石油化工学院教学院、实验室等维修响应报价低于通过符合性审查且报价次低供应商响应报价50%的，即山东石油化工学院教学院、实验室等维修响应报价&lt;通过符合性审查且报价次低供应商响应报价×50%。 （3）山东石油化工学院教学院、实验室等维修响应报价低于最高限价45%的，即山东石油化工学院教学院、实验室等维修响应报价&lt;最高限价×45%。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磋商小组启动异常低价投标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磋商小组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投标人可根据以上规定提前备好说明和证明材料，以备及时提交磋商小组。</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p>
            <w:pPr>
              <w:pStyle w:val="null5"/>
              <w:jc w:val="left"/>
            </w:pPr>
            <w:r>
              <w:rPr>
                <w:rFonts w:ascii="仿宋_GB2312" w:hAnsi="仿宋_GB2312" w:cs="仿宋_GB2312" w:eastAsia="仿宋_GB2312"/>
              </w:rPr>
              <w:t>工程量清单报价</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投标价格得分</w:t>
            </w:r>
          </w:p>
        </w:tc>
        <w:tc>
          <w:tcPr>
            <w:tcW w:type="dxa" w:w="2575"/>
          </w:tcPr>
          <w:p>
            <w:pPr>
              <w:pStyle w:val="null5"/>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p>
            <w:pPr>
              <w:pStyle w:val="null5"/>
              <w:jc w:val="left"/>
            </w:pPr>
            <w:r>
              <w:rPr>
                <w:rFonts w:ascii="仿宋_GB2312" w:hAnsi="仿宋_GB2312" w:cs="仿宋_GB2312" w:eastAsia="仿宋_GB2312"/>
              </w:rPr>
              <w:t>工程量清单报价</w:t>
            </w:r>
          </w:p>
        </w:tc>
      </w:tr>
      <w:tr>
        <w:tc>
          <w:tcPr>
            <w:tcW w:type="dxa" w:w="831"/>
          </w:tcPr>
          <w:p>
            <w:pPr>
              <w:pStyle w:val="null5"/>
              <w:jc w:val="left"/>
            </w:pPr>
            <w:r>
              <w:rPr>
                <w:rFonts w:ascii="仿宋_GB2312" w:hAnsi="仿宋_GB2312" w:cs="仿宋_GB2312" w:eastAsia="仿宋_GB2312"/>
              </w:rPr>
              <w:t>附加分</w:t>
            </w:r>
          </w:p>
        </w:tc>
        <w:tc>
          <w:tcPr>
            <w:tcW w:type="dxa" w:w="1661"/>
          </w:tcPr>
          <w:p>
            <w:pPr>
              <w:pStyle w:val="null5"/>
              <w:jc w:val="left"/>
            </w:pPr>
            <w:r>
              <w:rPr>
                <w:rFonts w:ascii="仿宋_GB2312" w:hAnsi="仿宋_GB2312" w:cs="仿宋_GB2312" w:eastAsia="仿宋_GB2312"/>
              </w:rPr>
              <w:t>节能、环保评分项</w:t>
            </w:r>
          </w:p>
        </w:tc>
        <w:tc>
          <w:tcPr>
            <w:tcW w:type="dxa" w:w="2575"/>
          </w:tcPr>
          <w:p>
            <w:pPr>
              <w:pStyle w:val="null5"/>
              <w:jc w:val="left"/>
            </w:pPr>
            <w:r>
              <w:rPr>
                <w:rFonts w:ascii="仿宋_GB2312" w:hAnsi="仿宋_GB2312" w:cs="仿宋_GB2312" w:eastAsia="仿宋_GB2312"/>
              </w:rPr>
              <w:t>1.若所投货物为品目清单内的节能或环境标志产品（不含品目清单强制采购范围产品），在其报价分值基础上分别根据节能或环境标志产品占总报价相应比例加分，计算公式如下： 报价部分加分=【（节能产品报价＋环境标志产品报价）/总报价】×价格评审总分值10×5% 。 2.若所投货物为品目清单内的节能或环境标志产品（不含品目清单强制采购范围产品），在其技术分值基础上分别根据节能或环境标志产品占总报价相应比例加分，计算公式如下： 技术部分加分=【（节能产品报价＋环境标志产品报价）/总报价】×技术评审总分值82×5% 。</w:t>
            </w:r>
          </w:p>
        </w:tc>
        <w:tc>
          <w:tcPr>
            <w:tcW w:type="dxa" w:w="831"/>
          </w:tcPr>
          <w:p>
            <w:pPr>
              <w:pStyle w:val="null5"/>
              <w:jc w:val="center"/>
            </w:pPr>
            <w:r>
              <w:rPr>
                <w:rFonts w:ascii="仿宋_GB2312" w:hAnsi="仿宋_GB2312" w:cs="仿宋_GB2312" w:eastAsia="仿宋_GB2312"/>
              </w:rPr>
              <w:t>9.2000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节能环保政策</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山东石油化工学院教学院、实验室等维修响应报价低于全部通过符合性审查供应商响应报价平均值50%的，即山东石油化工学院教学院、实验室等维修响应报价&lt;全部通过符合性审查供应商响应报价平均值×50%。</w:t>
              <w:br/>
              <w:t>（2）山东石油化工学院教学院、实验室等维修响应报价低于通过符合性审查且报价次低供应商响应报价50%的，即山东石油化工学院教学院、实验室等维修响应报价&lt;通过符合性审查且报价次低供应商响应报价×50%。</w:t>
              <w:br/>
              <w:t>（3）山东石油化工学院教学院、实验室等维修响应报价低于最高限价45%的，即山东石油化工学院教学院、实验室等维修响应报价&lt;最高限价×45%。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磋商小组启动异常低价投标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磋商小组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投标人可根据以上规定提前备好说明和证明材料，以备及时提交磋商小组。</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both"/>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both"/>
      </w:pPr>
      <w:r>
        <w:rPr>
          <w:rFonts w:ascii="仿宋_GB2312" w:hAnsi="仿宋_GB2312" w:cs="仿宋_GB2312" w:eastAsia="仿宋_GB2312"/>
        </w:rPr>
        <w:t>一、因情况变化，不再符合规定的竞争性磋商采购方式适用情形的；</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三、在采购过程中符合竞争要求的供应商或者报价未超过采购预算的供应商不足 3 家的。</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一、采购人应当自收到磋商报告之日起 5 个工作日内，在磋商报告确定的成交候选人名单中按顺序确定成交人，未按磋商报告推荐的成交候选人顺序确定成交人，又不能说明合法理由的，视同按磋商报告推荐的顺序确定排名第一的成交候选人为成交人。</w:t>
      </w:r>
    </w:p>
    <w:p>
      <w:pPr>
        <w:pStyle w:val="null5"/>
        <w:ind w:firstLine="480"/>
        <w:jc w:val="both"/>
      </w:pPr>
      <w:r>
        <w:rPr>
          <w:rFonts w:ascii="仿宋_GB2312" w:hAnsi="仿宋_GB2312" w:cs="仿宋_GB2312" w:eastAsia="仿宋_GB2312"/>
        </w:rPr>
        <w:t>二、采购人或者代理机构应当自成交供应商确定之日起 2 个工作日内，在“中国山东政府采购网”上公告成交结果，磋商文件应当随成交结果同时公告。</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both"/>
      </w:pPr>
      <w:r>
        <w:rPr>
          <w:rFonts w:ascii="仿宋_GB2312" w:hAnsi="仿宋_GB2312" w:cs="仿宋_GB2312" w:eastAsia="仿宋_GB2312"/>
        </w:rPr>
        <w:t>磋商小组在政府采购活动中应当履行下列义务：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both"/>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both"/>
      </w:pPr>
      <w:r>
        <w:rPr>
          <w:rFonts w:ascii="仿宋_GB2312" w:hAnsi="仿宋_GB2312" w:cs="仿宋_GB2312" w:eastAsia="仿宋_GB2312"/>
        </w:rPr>
        <w:t>磋商小组成员在政府采购活动中应当遵守下列工作纪律：</w:t>
      </w:r>
    </w:p>
    <w:p>
      <w:pPr>
        <w:pStyle w:val="null5"/>
        <w:ind w:firstLine="480"/>
        <w:jc w:val="both"/>
      </w:pPr>
      <w:r>
        <w:rPr>
          <w:rFonts w:ascii="仿宋_GB2312" w:hAnsi="仿宋_GB2312" w:cs="仿宋_GB2312" w:eastAsia="仿宋_GB2312"/>
        </w:rPr>
        <w:t>一、严格遵守政府采购法律制度关于磋商小组成员回避的规定。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详见附件：资格证明文件</w:t>
      </w:r>
    </w:p>
    <w:p>
      <w:pPr>
        <w:pStyle w:val="null5"/>
        <w:ind w:firstLine="960"/>
        <w:jc w:val="left"/>
      </w:pPr>
      <w:r>
        <w:rPr>
          <w:rFonts w:ascii="仿宋_GB2312" w:hAnsi="仿宋_GB2312" w:cs="仿宋_GB2312" w:eastAsia="仿宋_GB2312"/>
        </w:rPr>
        <w:t>详见附件：企业基本概况</w:t>
      </w:r>
    </w:p>
    <w:p>
      <w:pPr>
        <w:pStyle w:val="null5"/>
        <w:ind w:firstLine="960"/>
        <w:jc w:val="left"/>
      </w:pPr>
      <w:r>
        <w:rPr>
          <w:rFonts w:ascii="仿宋_GB2312" w:hAnsi="仿宋_GB2312" w:cs="仿宋_GB2312" w:eastAsia="仿宋_GB2312"/>
        </w:rPr>
        <w:t>详见附件：响应函</w:t>
      </w:r>
    </w:p>
    <w:p>
      <w:pPr>
        <w:pStyle w:val="null5"/>
        <w:ind w:firstLine="960"/>
        <w:jc w:val="left"/>
      </w:pPr>
      <w:r>
        <w:rPr>
          <w:rFonts w:ascii="仿宋_GB2312" w:hAnsi="仿宋_GB2312" w:cs="仿宋_GB2312" w:eastAsia="仿宋_GB2312"/>
        </w:rPr>
        <w:t>详见附件：不参与串通投标承诺书</w:t>
      </w:r>
    </w:p>
    <w:p>
      <w:pPr>
        <w:pStyle w:val="null5"/>
        <w:ind w:firstLine="960"/>
        <w:jc w:val="left"/>
      </w:pPr>
      <w:r>
        <w:rPr>
          <w:rFonts w:ascii="仿宋_GB2312" w:hAnsi="仿宋_GB2312" w:cs="仿宋_GB2312" w:eastAsia="仿宋_GB2312"/>
        </w:rPr>
        <w:t>详见附件：农民工工资无拖欠承诺书</w:t>
      </w:r>
    </w:p>
    <w:p>
      <w:pPr>
        <w:pStyle w:val="null5"/>
        <w:ind w:firstLine="960"/>
        <w:jc w:val="left"/>
      </w:pPr>
      <w:r>
        <w:rPr>
          <w:rFonts w:ascii="仿宋_GB2312" w:hAnsi="仿宋_GB2312" w:cs="仿宋_GB2312" w:eastAsia="仿宋_GB2312"/>
        </w:rPr>
        <w:t>详见附件：法定代表人身份证明、法定代表人授权委托书</w:t>
      </w:r>
    </w:p>
    <w:p>
      <w:pPr>
        <w:pStyle w:val="null5"/>
        <w:ind w:firstLine="960"/>
        <w:jc w:val="left"/>
      </w:pPr>
      <w:r>
        <w:rPr>
          <w:rFonts w:ascii="仿宋_GB2312" w:hAnsi="仿宋_GB2312" w:cs="仿宋_GB2312" w:eastAsia="仿宋_GB2312"/>
        </w:rPr>
        <w:t>详见附件：工程量清单报价</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详见附件：项目全生命周期成本分析</w:t>
      </w:r>
    </w:p>
    <w:p>
      <w:pPr>
        <w:pStyle w:val="null5"/>
        <w:ind w:firstLine="960"/>
        <w:jc w:val="left"/>
      </w:pPr>
      <w:r>
        <w:rPr>
          <w:rFonts w:ascii="仿宋_GB2312" w:hAnsi="仿宋_GB2312" w:cs="仿宋_GB2312" w:eastAsia="仿宋_GB2312"/>
        </w:rPr>
        <w:t>详见附件：业绩一览表及证明材料</w:t>
      </w:r>
    </w:p>
    <w:p>
      <w:pPr>
        <w:pStyle w:val="null5"/>
        <w:ind w:firstLine="960"/>
        <w:jc w:val="left"/>
      </w:pPr>
      <w:r>
        <w:rPr>
          <w:rFonts w:ascii="仿宋_GB2312" w:hAnsi="仿宋_GB2312" w:cs="仿宋_GB2312" w:eastAsia="仿宋_GB2312"/>
        </w:rPr>
        <w:t>详见附件：工程质量保修期</w:t>
      </w:r>
    </w:p>
    <w:p>
      <w:pPr>
        <w:pStyle w:val="null5"/>
        <w:ind w:firstLine="960"/>
        <w:jc w:val="left"/>
      </w:pPr>
      <w:r>
        <w:rPr>
          <w:rFonts w:ascii="仿宋_GB2312" w:hAnsi="仿宋_GB2312" w:cs="仿宋_GB2312" w:eastAsia="仿宋_GB2312"/>
        </w:rPr>
        <w:t>详见附件：节能环保政策</w:t>
      </w:r>
    </w:p>
    <w:p>
      <w:pPr>
        <w:pStyle w:val="null5"/>
        <w:ind w:firstLine="960"/>
        <w:jc w:val="left"/>
      </w:pPr>
      <w:r>
        <w:rPr>
          <w:rFonts w:ascii="仿宋_GB2312" w:hAnsi="仿宋_GB2312" w:cs="仿宋_GB2312" w:eastAsia="仿宋_GB2312"/>
        </w:rPr>
        <w:t>详见附件：供应商认为需要提交的其他商务文件</w:t>
      </w:r>
    </w:p>
    <w:p>
      <w:pPr>
        <w:pStyle w:val="null5"/>
        <w:ind w:firstLine="960"/>
        <w:jc w:val="left"/>
      </w:pPr>
      <w:r>
        <w:rPr>
          <w:rFonts w:ascii="仿宋_GB2312" w:hAnsi="仿宋_GB2312" w:cs="仿宋_GB2312" w:eastAsia="仿宋_GB2312"/>
        </w:rPr>
        <w:t>详见附件：施工方案</w:t>
      </w:r>
    </w:p>
    <w:p>
      <w:pPr>
        <w:pStyle w:val="null5"/>
        <w:ind w:firstLine="960"/>
        <w:jc w:val="left"/>
      </w:pPr>
      <w:r>
        <w:rPr>
          <w:rFonts w:ascii="仿宋_GB2312" w:hAnsi="仿宋_GB2312" w:cs="仿宋_GB2312" w:eastAsia="仿宋_GB2312"/>
        </w:rPr>
        <w:t>详见附件：项目管理班子配备</w:t>
      </w:r>
    </w:p>
    <w:p>
      <w:pPr>
        <w:pStyle w:val="null5"/>
        <w:ind w:firstLine="960"/>
        <w:jc w:val="left"/>
      </w:pPr>
      <w:r>
        <w:rPr>
          <w:rFonts w:ascii="仿宋_GB2312" w:hAnsi="仿宋_GB2312" w:cs="仿宋_GB2312" w:eastAsia="仿宋_GB2312"/>
        </w:rPr>
        <w:t>详见附件：质量保证措施</w:t>
      </w:r>
    </w:p>
    <w:p>
      <w:pPr>
        <w:pStyle w:val="null5"/>
        <w:ind w:firstLine="960"/>
        <w:jc w:val="left"/>
      </w:pPr>
      <w:r>
        <w:rPr>
          <w:rFonts w:ascii="仿宋_GB2312" w:hAnsi="仿宋_GB2312" w:cs="仿宋_GB2312" w:eastAsia="仿宋_GB2312"/>
        </w:rPr>
        <w:t>详见附件：安全文明施工措施</w:t>
      </w:r>
    </w:p>
    <w:p>
      <w:pPr>
        <w:pStyle w:val="null5"/>
        <w:ind w:firstLine="960"/>
        <w:jc w:val="left"/>
      </w:pPr>
      <w:r>
        <w:rPr>
          <w:rFonts w:ascii="仿宋_GB2312" w:hAnsi="仿宋_GB2312" w:cs="仿宋_GB2312" w:eastAsia="仿宋_GB2312"/>
        </w:rPr>
        <w:t>详见附件：工期安排</w:t>
      </w:r>
    </w:p>
    <w:p>
      <w:pPr>
        <w:pStyle w:val="null5"/>
        <w:ind w:firstLine="960"/>
        <w:jc w:val="left"/>
      </w:pPr>
      <w:r>
        <w:rPr>
          <w:rFonts w:ascii="仿宋_GB2312" w:hAnsi="仿宋_GB2312" w:cs="仿宋_GB2312" w:eastAsia="仿宋_GB2312"/>
        </w:rPr>
        <w:t>详见附件：成品保护措施</w:t>
      </w:r>
    </w:p>
    <w:p>
      <w:pPr>
        <w:pStyle w:val="null5"/>
        <w:ind w:firstLine="960"/>
        <w:jc w:val="left"/>
      </w:pPr>
      <w:r>
        <w:rPr>
          <w:rFonts w:ascii="仿宋_GB2312" w:hAnsi="仿宋_GB2312" w:cs="仿宋_GB2312" w:eastAsia="仿宋_GB2312"/>
        </w:rPr>
        <w:t>详见附件：主要材料保证措施</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详见附件：政府采购履约验收书参考样本、山东省政府采购合同范本.docx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