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山东石油化工学院运动场主席台雨棚维修改造及汛期修复工程(二次)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SDGP370000000202602006002-1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山东威达工程项目管理有限公司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山东威达工程项目管理有限公司</w:t>
      </w:r>
      <w:r>
        <w:rPr>
          <w:rFonts w:ascii="仿宋_GB2312" w:hAnsi="仿宋_GB2312" w:cs="仿宋_GB2312" w:eastAsia="仿宋_GB2312"/>
        </w:rPr>
        <w:t>（以下简称“代理机构”）受</w:t>
      </w:r>
      <w:r>
        <w:rPr>
          <w:rFonts w:ascii="仿宋_GB2312" w:hAnsi="仿宋_GB2312" w:cs="仿宋_GB2312" w:eastAsia="仿宋_GB2312"/>
        </w:rPr>
        <w:t>山东石油化工学院</w:t>
      </w:r>
      <w:r>
        <w:rPr>
          <w:rFonts w:ascii="仿宋_GB2312" w:hAnsi="仿宋_GB2312" w:cs="仿宋_GB2312" w:eastAsia="仿宋_GB2312"/>
        </w:rPr>
        <w:t>以下简称“采购人”)委托，对</w:t>
      </w:r>
      <w:r>
        <w:rPr>
          <w:rFonts w:ascii="仿宋_GB2312" w:hAnsi="仿宋_GB2312" w:cs="仿宋_GB2312" w:eastAsia="仿宋_GB2312"/>
        </w:rPr>
        <w:t>山东石油化工学院运动场主席台雨棚维修改造及汛期修复工程(二次)</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w:t>
      </w:r>
      <w:r>
        <w:rPr>
          <w:rFonts w:ascii="仿宋_GB2312" w:hAnsi="仿宋_GB2312" w:cs="仿宋_GB2312" w:eastAsia="仿宋_GB2312"/>
          <w:sz w:val="28"/>
          <w:b/>
        </w:rPr>
        <w:t>SDGP370000000202602006002-1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w:t>
      </w:r>
      <w:r>
        <w:rPr>
          <w:rFonts w:ascii="仿宋_GB2312" w:hAnsi="仿宋_GB2312" w:cs="仿宋_GB2312" w:eastAsia="仿宋_GB2312"/>
          <w:sz w:val="28"/>
          <w:b/>
        </w:rPr>
        <w:t>山东石油化工学院运动场主席台雨棚维修改造及汛期修复工程(二次)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包1：山东石油化工学院汛期修复工程 内容主要包括：自合同签订之日起至2026年11月30日止的校园汛期修复工程等内容，具体内容以实际发生工程量为准。</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jc w:val="left"/>
      </w:pPr>
      <w:r>
        <w:rPr>
          <w:rFonts w:ascii="仿宋_GB2312" w:hAnsi="仿宋_GB2312" w:cs="仿宋_GB2312" w:eastAsia="仿宋_GB2312"/>
        </w:rPr>
        <w:t>7、供应商符合法律、行政法规规定的其他条件：符合法律、行政法规规定的其他条件。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企业资质要求：具有有效的建筑工程施工总承包二级（含）以上资质证书或建筑工程施工总承包乙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p>
      <w:pPr>
        <w:pStyle w:val="null5"/>
        <w:jc w:val="left"/>
      </w:pPr>
      <w:r>
        <w:rPr>
          <w:rFonts w:ascii="仿宋_GB2312" w:hAnsi="仿宋_GB2312" w:cs="仿宋_GB2312" w:eastAsia="仿宋_GB2312"/>
        </w:rPr>
        <w:t>2、拟派项目经理要求：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both"/>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一、提交响应文件截止时间及开启时间、方式、地点：详见采购公告。</w:t>
      </w:r>
    </w:p>
    <w:p>
      <w:pPr>
        <w:pStyle w:val="null5"/>
        <w:ind w:firstLine="480"/>
        <w:jc w:val="both"/>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山东威达工程项目管理有限公司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东营市垦利区绿洲路与宜兴路交叉口南200米</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257500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高伟光、郑建波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0546-2883398</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采购包1：500,000.00元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采购包1：不收取</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代理服务费收费标准：参照国家计价格（2002）1980号文件、国家发改办价格[2003]857号文件规定下浮40%收取。</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兼投不兼中，磋商后，磋商小组要严格按照评审标准按包号的自然顺序进行。当供应商在前面分包中已确定为拟定推荐成交供应商时，其响应文件仍参与其他包号的评审，但不作为其他分包的拟定成交供应商候选人进行推荐，以此类推。</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山东威达工程项目管理有限公司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山东威达工程项目管理有限公司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供应商向采购人提交项目验收申请后，经采购人确认达到验收条件的，采购人按学校采购项目履约验收管理办法相关规定启动项目验收，并将验收要求通知供应商</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山东威达工程项目管理有限公司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山东威达工程项目管理有限公司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联系人：郑建波、高伟光</w:t>
      </w:r>
    </w:p>
    <w:p>
      <w:pPr>
        <w:pStyle w:val="null5"/>
        <w:jc w:val="left"/>
      </w:pPr>
      <w:r>
        <w:rPr>
          <w:rFonts w:ascii="仿宋_GB2312" w:hAnsi="仿宋_GB2312" w:cs="仿宋_GB2312" w:eastAsia="仿宋_GB2312"/>
        </w:rPr>
        <w:t>联系电话：0546-2883398</w:t>
      </w:r>
    </w:p>
    <w:p>
      <w:pPr>
        <w:pStyle w:val="null5"/>
        <w:jc w:val="left"/>
      </w:pPr>
      <w:r>
        <w:rPr>
          <w:rFonts w:ascii="仿宋_GB2312" w:hAnsi="仿宋_GB2312" w:cs="仿宋_GB2312" w:eastAsia="仿宋_GB2312"/>
        </w:rPr>
        <w:t>地址：东营市垦利区绿洲路与宜兴路交叉口南200米</w:t>
      </w:r>
    </w:p>
    <w:p>
      <w:pPr>
        <w:pStyle w:val="null5"/>
        <w:jc w:val="left"/>
      </w:pPr>
      <w:r>
        <w:rPr>
          <w:rFonts w:ascii="仿宋_GB2312" w:hAnsi="仿宋_GB2312" w:cs="仿宋_GB2312" w:eastAsia="仿宋_GB2312"/>
        </w:rPr>
        <w:t>邮编：257500</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500,000.00</w:t>
      </w:r>
    </w:p>
    <w:p>
      <w:pPr>
        <w:pStyle w:val="null5"/>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山东石油化工学院汛期修复工程</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500,000.00</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山东石油化工学院汛期修复工程</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w:t>
            </w:r>
          </w:p>
        </w:tc>
        <w:tc>
          <w:tcPr>
            <w:tcW w:type="dxa" w:w="1384"/>
          </w:tcPr>
          <w:p>
            <w:pPr>
              <w:pStyle w:val="null5"/>
              <w:jc w:val="right"/>
            </w:pPr>
            <w:r>
              <w:rPr>
                <w:rFonts w:ascii="仿宋_GB2312" w:hAnsi="仿宋_GB2312" w:cs="仿宋_GB2312" w:eastAsia="仿宋_GB2312"/>
                <w:b/>
              </w:rPr>
              <w:t>100.00</w:t>
            </w:r>
          </w:p>
        </w:tc>
        <w:tc>
          <w:tcPr>
            <w:tcW w:type="dxa" w:w="1384"/>
          </w:tcPr>
          <w:p>
            <w:pPr>
              <w:pStyle w:val="null5"/>
              <w:jc w:val="left"/>
            </w:pPr>
            <w:r>
              <w:rPr>
                <w:rFonts w:ascii="仿宋_GB2312" w:hAnsi="仿宋_GB2312" w:cs="仿宋_GB2312" w:eastAsia="仿宋_GB2312"/>
                <w:b/>
              </w:rPr>
              <w:t>折扣</w:t>
            </w:r>
          </w:p>
        </w:tc>
        <w:tc>
          <w:tcPr>
            <w:tcW w:type="dxa" w:w="1038"/>
          </w:tcPr>
          <w:p>
            <w:pPr>
              <w:pStyle w:val="null5"/>
              <w:jc w:val="left"/>
            </w:pPr>
            <w:r>
              <w:rPr>
                <w:rFonts w:ascii="仿宋_GB2312" w:hAnsi="仿宋_GB2312" w:cs="仿宋_GB2312" w:eastAsia="仿宋_GB2312"/>
                <w:b/>
              </w:rPr>
              <w:t>无</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标的名称：山东石油化工学院汛期修复工程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绿建需求标准</w:t>
            </w:r>
          </w:p>
        </w:tc>
        <w:tc>
          <w:tcPr>
            <w:tcW w:type="dxa" w:w="2076"/>
          </w:tcPr>
          <w:p>
            <w:pPr>
              <w:pStyle w:val="null5"/>
              <w:jc w:val="left"/>
            </w:pPr>
            <w:r>
              <w:rPr>
                <w:rFonts w:ascii="仿宋_GB2312" w:hAnsi="仿宋_GB2312" w:cs="仿宋_GB2312" w:eastAsia="仿宋_GB2312"/>
                <w:sz w:val="22"/>
                <w:color w:val="000000"/>
              </w:rPr>
              <w:t>本项目选取的建材产品应符合《绿色建筑和绿色建材政府采购需求标准》（</w:t>
            </w:r>
            <w:r>
              <w:rPr>
                <w:rFonts w:ascii="仿宋_GB2312" w:hAnsi="仿宋_GB2312" w:cs="仿宋_GB2312" w:eastAsia="仿宋_GB2312"/>
                <w:sz w:val="22"/>
                <w:color w:val="000000"/>
              </w:rPr>
              <w:t>2025版）的指标要求，未列入需求标准的应参考绿色建筑、绿色建材等相关标准要求。</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sz w:val="22"/>
                <w:color w:val="000000"/>
              </w:rPr>
              <w:t>按照磋商⽂件及国家规定施⼯。</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采购范围</w:t>
            </w:r>
          </w:p>
        </w:tc>
        <w:tc>
          <w:tcPr>
            <w:tcW w:type="dxa" w:w="4153"/>
          </w:tcPr>
          <w:p>
            <w:pPr>
              <w:pStyle w:val="null5"/>
              <w:jc w:val="left"/>
            </w:pPr>
            <w:r>
              <w:rPr>
                <w:rFonts w:ascii="仿宋_GB2312" w:hAnsi="仿宋_GB2312" w:cs="仿宋_GB2312" w:eastAsia="仿宋_GB2312"/>
              </w:rPr>
              <w:t>内容主要包括：自合同签订之日起至2026年11月3 0日止的校园汛期修复工程等内容，具体内容以实际发生工程量为准。</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工程领取</w:t>
            </w:r>
          </w:p>
        </w:tc>
        <w:tc>
          <w:tcPr>
            <w:tcW w:type="dxa" w:w="4153"/>
          </w:tcPr>
          <w:p>
            <w:pPr>
              <w:pStyle w:val="null5"/>
              <w:jc w:val="left"/>
            </w:pPr>
            <w:r>
              <w:rPr>
                <w:rFonts w:ascii="仿宋_GB2312" w:hAnsi="仿宋_GB2312" w:cs="仿宋_GB2312" w:eastAsia="仿宋_GB2312"/>
              </w:rPr>
              <w:t>成交供应商接到采购人通知后，应由项目经理领取派工单，服务期间项目经理不得更换。项目经理统筹协调整体工作，分解任务、责任到人，在重难点或关键节点施工时指挥监督，保证施工质量。</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响应时间</w:t>
            </w:r>
          </w:p>
        </w:tc>
        <w:tc>
          <w:tcPr>
            <w:tcW w:type="dxa" w:w="4153"/>
          </w:tcPr>
          <w:p>
            <w:pPr>
              <w:pStyle w:val="null5"/>
              <w:jc w:val="left"/>
            </w:pPr>
            <w:r>
              <w:rPr>
                <w:rFonts w:ascii="仿宋_GB2312" w:hAnsi="仿宋_GB2312" w:cs="仿宋_GB2312" w:eastAsia="仿宋_GB2312"/>
              </w:rPr>
              <w:t>成交供应商在接到维修通知后，30分钟内到达现场组织施工，如遇紧急情况，成交供应商需15分钟内赶到，并按采购人要求尽快完成，如因工作任务延误影响学校正常使用的，采购人有权另行安排其他队伍实施，由此造成的损失和施工费用由成交供应商承担。</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工程概况</w:t>
            </w:r>
          </w:p>
        </w:tc>
        <w:tc>
          <w:tcPr>
            <w:tcW w:type="dxa" w:w="4153"/>
          </w:tcPr>
          <w:p>
            <w:pPr>
              <w:pStyle w:val="null5"/>
              <w:jc w:val="left"/>
            </w:pPr>
            <w:r>
              <w:rPr>
                <w:rFonts w:ascii="仿宋_GB2312" w:hAnsi="仿宋_GB2312" w:cs="仿宋_GB2312" w:eastAsia="仿宋_GB2312"/>
              </w:rPr>
              <w:t>成交供应商在接到成交通知书后一周内，务必对所负责维修区域的位置、功能分布、周边环境、管网电网（地上、地下及室内）辐射等情况了解充分，杜绝施工过程中乱关乱开阀门、损坏其它基础设施等情况发生，由此造成的损失成交供应商承担。</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工程材料</w:t>
            </w:r>
          </w:p>
        </w:tc>
        <w:tc>
          <w:tcPr>
            <w:tcW w:type="dxa" w:w="4153"/>
          </w:tcPr>
          <w:p>
            <w:pPr>
              <w:pStyle w:val="null5"/>
              <w:jc w:val="left"/>
            </w:pPr>
            <w:r>
              <w:rPr>
                <w:rFonts w:ascii="仿宋_GB2312" w:hAnsi="仿宋_GB2312" w:cs="仿宋_GB2312" w:eastAsia="仿宋_GB2312"/>
              </w:rPr>
              <w:t>供应商要增强材料价格风险防范意识，在磋商报价时充分预估材料采购市场风险，密切关注相关建筑材料市场价格变化，采取积极有效措施预防和化解因价格急剧波动带来的工程造价风险，在确保维修质量、维修时效性的同时，合理确定相应材料价格。</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工程质量</w:t>
            </w:r>
          </w:p>
        </w:tc>
        <w:tc>
          <w:tcPr>
            <w:tcW w:type="dxa" w:w="4153"/>
          </w:tcPr>
          <w:p>
            <w:pPr>
              <w:pStyle w:val="null5"/>
              <w:jc w:val="left"/>
            </w:pPr>
            <w:r>
              <w:rPr>
                <w:rFonts w:ascii="仿宋_GB2312" w:hAnsi="仿宋_GB2312" w:cs="仿宋_GB2312" w:eastAsia="仿宋_GB2312"/>
              </w:rPr>
              <w:t>成交供应商在施工中应执行国家、部门、企业的规定和标准，满足建筑、公共安全标准、节能、安全等要求。本项目的材料、设备、施工须达到相关工程施工与质量验收规范、施工技术规范及现行中华人民共和国以及省、自治区、直辖市或行业的工程建设标准、规范的要求。</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安全文明</w:t>
            </w:r>
          </w:p>
        </w:tc>
        <w:tc>
          <w:tcPr>
            <w:tcW w:type="dxa" w:w="4153"/>
          </w:tcPr>
          <w:p>
            <w:pPr>
              <w:pStyle w:val="null5"/>
              <w:jc w:val="left"/>
            </w:pPr>
            <w:r>
              <w:rPr>
                <w:rFonts w:ascii="仿宋_GB2312" w:hAnsi="仿宋_GB2312" w:cs="仿宋_GB2312" w:eastAsia="仿宋_GB2312"/>
              </w:rPr>
              <w:t>成交供应商应遵守有关主管部门对施工场地交通、施工噪音、环境保护和安全生产等管理规定。施工在不影响学校正常教学秩序的前提下进行，务必保证施工期间校园内人员的人身安全、不妨碍交通、不污染环境等为基本原则。制定施工方案，提出具体的防止扬尘，降音降噪等环保措施，明确施工场地具体的环保要求和环保责任人，渣土、废弃物等倾倒场地必须是经有关部门批准的合法渣土倾倒场。提出具体的安全施工方案，明确安全第一责任人，施工期间发生的所有安全事故由成交人全部承担，并赔偿相应的损失。施工人员必须佩戴安全帽，施工现场必须进行清理封闭，设置安全警示标志和警戒线，并安排专人疏导行人、围观群众及闲杂人员，维持施工现场的秩序。施工工地外围应当设置封闭围档，防止物料、渣土遗撒，并及时清理工地外围道路遗散的渣土。</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农民工工资等要求</w:t>
            </w:r>
          </w:p>
        </w:tc>
        <w:tc>
          <w:tcPr>
            <w:tcW w:type="dxa" w:w="4153"/>
          </w:tcPr>
          <w:p>
            <w:pPr>
              <w:pStyle w:val="null5"/>
              <w:jc w:val="left"/>
            </w:pPr>
            <w:r>
              <w:rPr>
                <w:rFonts w:ascii="仿宋_GB2312" w:hAnsi="仿宋_GB2312" w:cs="仿宋_GB2312" w:eastAsia="仿宋_GB2312"/>
              </w:rPr>
              <w:t>成交供应商应按时、优先支付建筑工人工资，并对其工作安全、劳动保险等事宜负责，杜绝建筑工人上访事件。在工程实施期间及工程质保期内，如出现与本工程有关的建筑工人到各级主管部门、采购人办公场所等上访、纠缠（不限于农民工工资支付问题）情况时，成交供应商须自行在3小时内处理完毕，若因此造成影响所有责任由供应商承担。</w:t>
            </w:r>
          </w:p>
        </w:tc>
      </w:tr>
      <w:tr>
        <w:tc>
          <w:tcPr>
            <w:tcW w:type="dxa" w:w="1038"/>
          </w:tcPr>
          <w:p>
            <w:pPr>
              <w:pStyle w:val="null5"/>
              <w:jc w:val="left"/>
            </w:pPr>
            <w:r>
              <w:rPr>
                <w:rFonts w:ascii="仿宋_GB2312" w:hAnsi="仿宋_GB2312" w:cs="仿宋_GB2312" w:eastAsia="仿宋_GB2312"/>
              </w:rPr>
              <w:t>9</w:t>
            </w:r>
          </w:p>
        </w:tc>
        <w:tc>
          <w:tcPr>
            <w:tcW w:type="dxa" w:w="3115"/>
          </w:tcPr>
          <w:p>
            <w:pPr>
              <w:pStyle w:val="null5"/>
              <w:jc w:val="left"/>
            </w:pPr>
            <w:r>
              <w:rPr>
                <w:rFonts w:ascii="仿宋_GB2312" w:hAnsi="仿宋_GB2312" w:cs="仿宋_GB2312" w:eastAsia="仿宋_GB2312"/>
              </w:rPr>
              <w:t>工程结算</w:t>
            </w:r>
          </w:p>
        </w:tc>
        <w:tc>
          <w:tcPr>
            <w:tcW w:type="dxa" w:w="4153"/>
          </w:tcPr>
          <w:p>
            <w:pPr>
              <w:pStyle w:val="null5"/>
              <w:jc w:val="left"/>
            </w:pPr>
            <w:r>
              <w:rPr>
                <w:rFonts w:ascii="仿宋_GB2312" w:hAnsi="仿宋_GB2312" w:cs="仿宋_GB2312" w:eastAsia="仿宋_GB2312"/>
              </w:rPr>
              <w:t>采购人根据实际工作情况，有权对施工区域进行临时调整，根据实际发生工作量据实结算。 工程结算编制依据： 1、清单执行《建设工程工程量清单计价标准》（GB/T 50500-2024）及相应工程量计算规范； 2、定额执行2025年《山东省建筑工程消耗量定额》、2025《山东省安装工程消耗量定额 》、2025年《山东省市政工程消耗量定额》、《山东省修缮工程消耗量定额》（2020版）； 3、人工费执行鲁建标字〔2025〕7号文； 4、取费文件执行鲁建标字〔2025〕7号文；建设项目工伤保险费率依据鲁人社字〔2020]69 号、鲁人社函〔2025]5 号相关规定；优质优价费本工程不计取； 5、增值税执行2025年《山东省建设工程费用项目组成及计算规则》； 6、材料价格参考东营市市场价格，山东省及东营市发布的与工程计价有关的文件； 最终结算值：按照编制依据标准计算的工程审定值×成交供应商最终磋商折扣。</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合同履行期限：自本项目签订合同之日起至质量保修期结束。</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工程地点：山东石油化工学院院内。</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进度款，合同项下⼯程验收合格后，待出具⼯程结算报告，供应商按照采购⼈要求提供发票（因电⼦系统设置原因⽆法修改，后⽂⽀付合同总⾦额指⼯程结算审计值），达到付款条件起60个工作日内，支付合同总金额的80.0%</w:t>
            </w:r>
            <w:r>
              <w:br/>
            </w:r>
            <w:r>
              <w:rPr>
                <w:rFonts w:ascii="仿宋_GB2312" w:hAnsi="仿宋_GB2312" w:cs="仿宋_GB2312" w:eastAsia="仿宋_GB2312"/>
              </w:rPr>
              <w:t>2、</w:t>
            </w:r>
            <w:r>
              <w:rPr>
                <w:rFonts w:ascii="仿宋_GB2312" w:hAnsi="仿宋_GB2312" w:cs="仿宋_GB2312" w:eastAsia="仿宋_GB2312"/>
              </w:rPr>
              <w:t>其他，下⼀年度⽀付（因电⼦系统设置原因⽆法修改，后⽂⽀付合同总⾦额指⼯程结算审计值），达到付款条件起60日内，支付合同总金额的17.00%，达到付款条件起60个工作日内，支付合同总金额的17.0%</w:t>
            </w:r>
            <w:r>
              <w:br/>
            </w:r>
            <w:r>
              <w:rPr>
                <w:rFonts w:ascii="仿宋_GB2312" w:hAnsi="仿宋_GB2312" w:cs="仿宋_GB2312" w:eastAsia="仿宋_GB2312"/>
              </w:rPr>
              <w:t>3、</w:t>
            </w:r>
            <w:r>
              <w:rPr>
                <w:rFonts w:ascii="仿宋_GB2312" w:hAnsi="仿宋_GB2312" w:cs="仿宋_GB2312" w:eastAsia="仿宋_GB2312"/>
              </w:rPr>
              <w:t>其他，质保期满拨款（因电⼦系统设置原因⽆法修改，后⽂⽀付合同总⾦额指⼯程结算审计值），达到付款条件起60个工作日内，支付合同总金额的3.0%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质量要求：合格。</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安全目标：安全标准执行国家建筑施工安全检查标准及安全技术规范，达到合格标准。</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承包方式：包工包料。</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程质量保修期：本项⽬按照国家《建设⼯程质量管理条例》中有关规定实⾏保修，具体约定质量保修期如下：①屋⾯防⽔⼯程、有防⽔要求的卫⽣间、房间和外墙⾯的防渗漏，为5年；②供热及供冷系统⼯程为2个采暖期及供冷期；③电⽓管线、给排⽔管道、设备安装和装修⼯程为2年；④装饰装修⼯程2年；⑤其他约定：本⼯程其他项⽬保修期为2年。注：法律法规、国家产品质量规范、行业标准等现行有效法律文件对质量保修期有特殊规定的同时须满足该规定，承包人有承诺延长质量保修期的，执行其承诺。</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服务期限：自合同签订之日起至2026年11月30日止。</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政府采购工程项目使用的建材属于《需求标准》明确为“必选类”的，应当全部采购和使用符合相关标准的绿色建材；属于《需求标准》明确为“可选类”的，选用绿色建材种类应不低于建筑项目涉及建材种类的40%。 2、供应商结合市场情况，自主确定工程报价。供应商在确定工程报价时，不得弄虚作假，骗取成交。报价包括：材料价款、运输费、装卸费、施工费、施工中的运输费、检测费、水电费、税费等一切费用均由施工方自负，直至工程竣工验收合格的全部价款，在报价时一并测算在内。 3、合同金额以最终报价为准。本项目为固定折扣结算，工程量据实结算。 4、投标截止时间后，成功提交响应文件的供应商符合磋商文件规定数量的，代理机构将启动响应文件解密程序，解密时间为30分钟；供应商应在规定的解密时间内，使用加密响应文件的数字证书进行响应文件解密。除因平台系统故障导致供应商未按时完成解密外，供应商未在规定的解密时间内完成解密的，按无效投标处理。本项目共两轮报价，第一轮为磋商前基础报价，第二轮报价为磋商后最终报价。 磋商小组与供应商分别进行磋商完成后，通过评标系统向实质性响应的供应商发起最终报价要求，要求所有供应商在规定时间（30分钟）内进行最终报价，提交最终报价的供应商不得少于3家（若供应商未在规定时间（30分钟）内提交最终报价，视为退出磋商）。 5、本项目兼投不兼中，磋商后，磋商小组要严格按照评审标准按包号的自然顺序进行。当供应商在前面分包中已确定为拟定推荐成交供应商时，其响应文件仍参与其他包号的评审，但不作为其他分包的拟定成交供应商候选人进行推荐，以此类推。：</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sz w:val="24"/>
        </w:rPr>
        <w:t>详见第三章</w:t>
      </w:r>
      <w:r>
        <w:rPr>
          <w:rFonts w:ascii="仿宋_GB2312" w:hAnsi="仿宋_GB2312" w:cs="仿宋_GB2312" w:eastAsia="仿宋_GB2312"/>
          <w:sz w:val="24"/>
        </w:rPr>
        <w:t>“技术、服务及其他要求”中“3.2.技术要求”，“3.3.服务要求 ”非带“★”实质性要求。</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sz w:val="24"/>
        </w:rPr>
        <w:t>详见第三章</w:t>
      </w:r>
      <w:r>
        <w:rPr>
          <w:rFonts w:ascii="仿宋_GB2312" w:hAnsi="仿宋_GB2312" w:cs="仿宋_GB2312" w:eastAsia="仿宋_GB2312"/>
          <w:sz w:val="24"/>
        </w:rPr>
        <w:t>“技术、服务及其他要求”中“3.2.技术要求”，“3.3.服务要求 ”非带“★”实质性要求。</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响应函</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供应商企业资质要求</w:t>
            </w:r>
          </w:p>
        </w:tc>
        <w:tc>
          <w:tcPr>
            <w:tcW w:type="dxa" w:w="3322"/>
          </w:tcPr>
          <w:p>
            <w:pPr>
              <w:pStyle w:val="null5"/>
              <w:jc w:val="left"/>
            </w:pPr>
            <w:r>
              <w:rPr>
                <w:rFonts w:ascii="仿宋_GB2312" w:hAnsi="仿宋_GB2312" w:cs="仿宋_GB2312" w:eastAsia="仿宋_GB2312"/>
              </w:rPr>
              <w:t>具有有效的建筑工程施工总承包二级（含）以上资质证书或建筑工程施工总承包乙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拟派项目经理要求</w:t>
            </w:r>
          </w:p>
        </w:tc>
        <w:tc>
          <w:tcPr>
            <w:tcW w:type="dxa" w:w="3322"/>
          </w:tcPr>
          <w:p>
            <w:pPr>
              <w:pStyle w:val="null5"/>
              <w:jc w:val="left"/>
            </w:pPr>
            <w:r>
              <w:rPr>
                <w:rFonts w:ascii="仿宋_GB2312" w:hAnsi="仿宋_GB2312" w:cs="仿宋_GB2312" w:eastAsia="仿宋_GB2312"/>
              </w:rPr>
              <w:t>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农民工工资无拖欠承诺书</w:t>
            </w:r>
          </w:p>
        </w:tc>
        <w:tc>
          <w:tcPr>
            <w:tcW w:type="dxa" w:w="3322"/>
          </w:tcPr>
          <w:p>
            <w:pPr>
              <w:pStyle w:val="null5"/>
              <w:jc w:val="left"/>
            </w:pPr>
            <w:r>
              <w:rPr>
                <w:rFonts w:ascii="仿宋_GB2312" w:hAnsi="仿宋_GB2312" w:cs="仿宋_GB2312" w:eastAsia="仿宋_GB2312"/>
              </w:rPr>
              <w:t>提供农民工工资无拖欠承诺书</w:t>
            </w:r>
          </w:p>
        </w:tc>
        <w:tc>
          <w:tcPr>
            <w:tcW w:type="dxa" w:w="1661"/>
          </w:tcPr>
          <w:p>
            <w:pPr>
              <w:pStyle w:val="null5"/>
              <w:jc w:val="left"/>
            </w:pPr>
            <w:r>
              <w:rPr>
                <w:rFonts w:ascii="仿宋_GB2312" w:hAnsi="仿宋_GB2312" w:cs="仿宋_GB2312" w:eastAsia="仿宋_GB2312"/>
              </w:rPr>
              <w:t>农民工工资无拖欠承诺书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法定代表人身份证明（民办非企、个体工商户提供负责人身份证明，自然人提供身份证） 授权委托书（委托代理人的须提供）</w:t>
            </w:r>
          </w:p>
        </w:tc>
        <w:tc>
          <w:tcPr>
            <w:tcW w:type="dxa" w:w="3322"/>
          </w:tcPr>
          <w:p>
            <w:pPr>
              <w:pStyle w:val="null5"/>
              <w:jc w:val="left"/>
            </w:pPr>
            <w:r>
              <w:rPr>
                <w:rFonts w:ascii="仿宋_GB2312" w:hAnsi="仿宋_GB2312" w:cs="仿宋_GB2312" w:eastAsia="仿宋_GB2312"/>
              </w:rPr>
              <w:t>提供法定代表人身份证明（民办非企、个体工商户提供负责人身份证明，自然人提供身份证）、授权委托书（委托代理人的须提供）</w:t>
            </w:r>
          </w:p>
        </w:tc>
        <w:tc>
          <w:tcPr>
            <w:tcW w:type="dxa" w:w="1661"/>
          </w:tcPr>
          <w:p>
            <w:pPr>
              <w:pStyle w:val="null5"/>
              <w:jc w:val="left"/>
            </w:pPr>
            <w:r>
              <w:rPr>
                <w:rFonts w:ascii="仿宋_GB2312" w:hAnsi="仿宋_GB2312" w:cs="仿宋_GB2312" w:eastAsia="仿宋_GB2312"/>
              </w:rPr>
              <w:t>法定代表人身份证明、法定代表人授权委托书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是否按磋商文件规定及附件格式要求制作、签署、盖章；</w:t>
            </w:r>
          </w:p>
        </w:tc>
        <w:tc>
          <w:tcPr>
            <w:tcW w:type="dxa" w:w="3322"/>
          </w:tcPr>
          <w:p>
            <w:pPr>
              <w:pStyle w:val="null5"/>
              <w:jc w:val="left"/>
            </w:pPr>
            <w:r>
              <w:rPr>
                <w:rFonts w:ascii="仿宋_GB2312" w:hAnsi="仿宋_GB2312" w:cs="仿宋_GB2312" w:eastAsia="仿宋_GB2312"/>
              </w:rPr>
              <w:t>按磋商文件规定及附件格式要求制作、签署、盖章；</w:t>
            </w:r>
          </w:p>
        </w:tc>
        <w:tc>
          <w:tcPr>
            <w:tcW w:type="dxa" w:w="1661"/>
          </w:tcPr>
          <w:p>
            <w:pPr>
              <w:pStyle w:val="null5"/>
              <w:jc w:val="left"/>
            </w:pPr>
            <w:r>
              <w:rPr>
                <w:rFonts w:ascii="仿宋_GB2312" w:hAnsi="仿宋_GB2312" w:cs="仿宋_GB2312" w:eastAsia="仿宋_GB2312"/>
              </w:rPr>
              <w:t>资格证明文件、农民工工资无拖欠承诺书、商务偏离表、封面、报价表、响应函、不参与串通投标承诺书、法定代表人身份证明、法定代表人授权委托书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不参与串通投标承诺书</w:t>
            </w:r>
          </w:p>
        </w:tc>
        <w:tc>
          <w:tcPr>
            <w:tcW w:type="dxa" w:w="3322"/>
          </w:tcPr>
          <w:p>
            <w:pPr>
              <w:pStyle w:val="null5"/>
              <w:jc w:val="left"/>
            </w:pPr>
            <w:r>
              <w:rPr>
                <w:rFonts w:ascii="仿宋_GB2312" w:hAnsi="仿宋_GB2312" w:cs="仿宋_GB2312" w:eastAsia="仿宋_GB2312"/>
              </w:rPr>
              <w:t>不参与串通投标承诺书</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响应函</w:t>
            </w:r>
          </w:p>
        </w:tc>
        <w:tc>
          <w:tcPr>
            <w:tcW w:type="dxa" w:w="3322"/>
          </w:tcPr>
          <w:p>
            <w:pPr>
              <w:pStyle w:val="null5"/>
              <w:jc w:val="left"/>
            </w:pPr>
            <w:r>
              <w:rPr>
                <w:rFonts w:ascii="仿宋_GB2312" w:hAnsi="仿宋_GB2312" w:cs="仿宋_GB2312" w:eastAsia="仿宋_GB2312"/>
              </w:rPr>
              <w:t>按要求提供响应函</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响应函、供应商认为需要提交的其他商务文件、企业基本概况</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技术部分82.00分</w:t>
            </w:r>
          </w:p>
          <w:p>
            <w:pPr>
              <w:pStyle w:val="null5"/>
              <w:jc w:val="left"/>
            </w:pPr>
            <w:r>
              <w:rPr>
                <w:rFonts w:ascii="仿宋_GB2312" w:hAnsi="仿宋_GB2312" w:cs="仿宋_GB2312" w:eastAsia="仿宋_GB2312"/>
              </w:rPr>
              <w:t>商务部分8.00分</w:t>
            </w:r>
          </w:p>
          <w:p>
            <w:pPr>
              <w:pStyle w:val="null5"/>
              <w:jc w:val="left"/>
            </w:pPr>
            <w:r>
              <w:rPr>
                <w:rFonts w:ascii="仿宋_GB2312" w:hAnsi="仿宋_GB2312" w:cs="仿宋_GB2312" w:eastAsia="仿宋_GB2312"/>
              </w:rPr>
              <w:t>报价得分10.00分</w:t>
            </w:r>
          </w:p>
          <w:p>
            <w:pPr>
              <w:pStyle w:val="null5"/>
              <w:jc w:val="left"/>
            </w:pPr>
            <w:r>
              <w:rPr>
                <w:rFonts w:ascii="仿宋_GB2312" w:hAnsi="仿宋_GB2312" w:cs="仿宋_GB2312" w:eastAsia="仿宋_GB2312"/>
              </w:rPr>
              <w:t>附加分9.20分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w:t>
            </w:r>
          </w:p>
        </w:tc>
        <w:tc>
          <w:tcPr>
            <w:tcW w:type="dxa" w:w="2575"/>
          </w:tcPr>
          <w:p>
            <w:pPr>
              <w:pStyle w:val="null5"/>
              <w:jc w:val="left"/>
            </w:pPr>
            <w:r>
              <w:rPr>
                <w:rFonts w:ascii="仿宋_GB2312" w:hAnsi="仿宋_GB2312" w:cs="仿宋_GB2312" w:eastAsia="仿宋_GB2312"/>
              </w:rPr>
              <w:t>磋商小组根据施工方案及降低工程造价的主要措施进行综合评审，酌情打分，本项满分12分。存在瑕疵或不足的以0.5分为单位进行扣减，扣完为止。无此项内容的，本项得0分。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施工方案</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磋商小组根据项目部人员的组织管理机构、岗位设置情况、专业搭配，项目经理以及主要施工管理人员的施工经验、组织管理机构及施工力量部署等方面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项目管理班子配备</w:t>
            </w:r>
          </w:p>
        </w:tc>
      </w:tr>
      <w:tr>
        <w:tc>
          <w:tcPr>
            <w:tcW w:type="dxa" w:w="831"/>
            <w:vMerge/>
          </w:tcPr>
          <w:p/>
        </w:tc>
        <w:tc>
          <w:tcPr>
            <w:tcW w:type="dxa" w:w="1661"/>
          </w:tcPr>
          <w:p>
            <w:pPr>
              <w:pStyle w:val="null5"/>
              <w:jc w:val="left"/>
            </w:pPr>
            <w:r>
              <w:rPr>
                <w:rFonts w:ascii="仿宋_GB2312" w:hAnsi="仿宋_GB2312" w:cs="仿宋_GB2312" w:eastAsia="仿宋_GB2312"/>
              </w:rPr>
              <w:t>质量保证措施</w:t>
            </w:r>
          </w:p>
        </w:tc>
        <w:tc>
          <w:tcPr>
            <w:tcW w:type="dxa" w:w="2575"/>
          </w:tcPr>
          <w:p>
            <w:pPr>
              <w:pStyle w:val="null5"/>
              <w:jc w:val="left"/>
            </w:pPr>
            <w:r>
              <w:rPr>
                <w:rFonts w:ascii="仿宋_GB2312" w:hAnsi="仿宋_GB2312" w:cs="仿宋_GB2312" w:eastAsia="仿宋_GB2312"/>
              </w:rPr>
              <w:t>磋商小组根据确保工程质量的技术组织措施进行综合评审，酌情打分，本项满分12分。存在瑕疵或不足的以0.5分为单位进行扣减，扣完为止。无此项内容的，本项得0分。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质量保证措施</w:t>
            </w:r>
          </w:p>
        </w:tc>
      </w:tr>
      <w:tr>
        <w:tc>
          <w:tcPr>
            <w:tcW w:type="dxa" w:w="831"/>
            <w:vMerge/>
          </w:tcPr>
          <w:p/>
        </w:tc>
        <w:tc>
          <w:tcPr>
            <w:tcW w:type="dxa" w:w="1661"/>
          </w:tcPr>
          <w:p>
            <w:pPr>
              <w:pStyle w:val="null5"/>
              <w:jc w:val="left"/>
            </w:pPr>
            <w:r>
              <w:rPr>
                <w:rFonts w:ascii="仿宋_GB2312" w:hAnsi="仿宋_GB2312" w:cs="仿宋_GB2312" w:eastAsia="仿宋_GB2312"/>
              </w:rPr>
              <w:t>安全文明施工措施</w:t>
            </w:r>
          </w:p>
        </w:tc>
        <w:tc>
          <w:tcPr>
            <w:tcW w:type="dxa" w:w="2575"/>
          </w:tcPr>
          <w:p>
            <w:pPr>
              <w:pStyle w:val="null5"/>
              <w:jc w:val="left"/>
            </w:pPr>
            <w:r>
              <w:rPr>
                <w:rFonts w:ascii="仿宋_GB2312" w:hAnsi="仿宋_GB2312" w:cs="仿宋_GB2312" w:eastAsia="仿宋_GB2312"/>
              </w:rPr>
              <w:t>磋商小组根据确保安全生产、文明施工、环境保护、扬尘污染的技术组织措施进行综合评审，酌情打分，本项满分12分。存在瑕疵或不足的以0.5分为单位进行扣减，扣完为止。无此项内容的，本项得0分。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安全文明施工措施</w:t>
            </w:r>
          </w:p>
        </w:tc>
      </w:tr>
      <w:tr>
        <w:tc>
          <w:tcPr>
            <w:tcW w:type="dxa" w:w="831"/>
            <w:vMerge/>
          </w:tcPr>
          <w:p/>
        </w:tc>
        <w:tc>
          <w:tcPr>
            <w:tcW w:type="dxa" w:w="1661"/>
          </w:tcPr>
          <w:p>
            <w:pPr>
              <w:pStyle w:val="null5"/>
              <w:jc w:val="left"/>
            </w:pPr>
            <w:r>
              <w:rPr>
                <w:rFonts w:ascii="仿宋_GB2312" w:hAnsi="仿宋_GB2312" w:cs="仿宋_GB2312" w:eastAsia="仿宋_GB2312"/>
              </w:rPr>
              <w:t>工期安排</w:t>
            </w:r>
          </w:p>
        </w:tc>
        <w:tc>
          <w:tcPr>
            <w:tcW w:type="dxa" w:w="2575"/>
          </w:tcPr>
          <w:p>
            <w:pPr>
              <w:pStyle w:val="null5"/>
              <w:jc w:val="left"/>
            </w:pPr>
            <w:r>
              <w:rPr>
                <w:rFonts w:ascii="仿宋_GB2312" w:hAnsi="仿宋_GB2312" w:cs="仿宋_GB2312" w:eastAsia="仿宋_GB2312"/>
              </w:rPr>
              <w:t>磋商小组根据总进度工期安排及进度网络图、进度节点控制阶段划分及节点完成时间进行综合评审，酌情打分，本项满分12分。存在瑕疵或不足的以0.5分为单位进行扣减，扣完为止。无此项内容的，本项得0分。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工期安排</w:t>
            </w:r>
          </w:p>
        </w:tc>
      </w:tr>
      <w:tr>
        <w:tc>
          <w:tcPr>
            <w:tcW w:type="dxa" w:w="831"/>
            <w:vMerge/>
          </w:tcPr>
          <w:p/>
        </w:tc>
        <w:tc>
          <w:tcPr>
            <w:tcW w:type="dxa" w:w="1661"/>
          </w:tcPr>
          <w:p>
            <w:pPr>
              <w:pStyle w:val="null5"/>
              <w:jc w:val="left"/>
            </w:pPr>
            <w:r>
              <w:rPr>
                <w:rFonts w:ascii="仿宋_GB2312" w:hAnsi="仿宋_GB2312" w:cs="仿宋_GB2312" w:eastAsia="仿宋_GB2312"/>
              </w:rPr>
              <w:t>成品保护措施</w:t>
            </w:r>
          </w:p>
        </w:tc>
        <w:tc>
          <w:tcPr>
            <w:tcW w:type="dxa" w:w="2575"/>
          </w:tcPr>
          <w:p>
            <w:pPr>
              <w:pStyle w:val="null5"/>
              <w:jc w:val="left"/>
            </w:pPr>
            <w:r>
              <w:rPr>
                <w:rFonts w:ascii="仿宋_GB2312" w:hAnsi="仿宋_GB2312" w:cs="仿宋_GB2312" w:eastAsia="仿宋_GB2312"/>
              </w:rPr>
              <w:t>磋商小组根据成品保护和工程保修工作的管理措施进行综合评审，酌情打分，本项满分11分。存在瑕疵或不足的以0.5分为单位进行扣减，扣完为止。无此项内容的，本项得0分。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成品保护措施</w:t>
            </w:r>
          </w:p>
        </w:tc>
      </w:tr>
      <w:tr>
        <w:tc>
          <w:tcPr>
            <w:tcW w:type="dxa" w:w="831"/>
            <w:vMerge/>
          </w:tcPr>
          <w:p/>
        </w:tc>
        <w:tc>
          <w:tcPr>
            <w:tcW w:type="dxa" w:w="1661"/>
          </w:tcPr>
          <w:p>
            <w:pPr>
              <w:pStyle w:val="null5"/>
              <w:jc w:val="left"/>
            </w:pPr>
            <w:r>
              <w:rPr>
                <w:rFonts w:ascii="仿宋_GB2312" w:hAnsi="仿宋_GB2312" w:cs="仿宋_GB2312" w:eastAsia="仿宋_GB2312"/>
              </w:rPr>
              <w:t>主要材料保证措施</w:t>
            </w:r>
          </w:p>
        </w:tc>
        <w:tc>
          <w:tcPr>
            <w:tcW w:type="dxa" w:w="2575"/>
          </w:tcPr>
          <w:p>
            <w:pPr>
              <w:pStyle w:val="null5"/>
              <w:jc w:val="left"/>
            </w:pPr>
            <w:r>
              <w:rPr>
                <w:rFonts w:ascii="仿宋_GB2312" w:hAnsi="仿宋_GB2312" w:cs="仿宋_GB2312" w:eastAsia="仿宋_GB2312"/>
              </w:rPr>
              <w:t>磋商小组根据工程主要材料的规格、型号、质量情况及保证措施进行综合评审，酌情打分，本项满分11分。存在瑕疵或不足的以0.5分为单位进行扣减，扣完为止。无此项内容的，本项得0分。</w:t>
            </w:r>
          </w:p>
        </w:tc>
        <w:tc>
          <w:tcPr>
            <w:tcW w:type="dxa" w:w="831"/>
          </w:tcPr>
          <w:p>
            <w:pPr>
              <w:pStyle w:val="null5"/>
              <w:jc w:val="center"/>
            </w:pPr>
            <w:r>
              <w:rPr>
                <w:rFonts w:ascii="仿宋_GB2312" w:hAnsi="仿宋_GB2312" w:cs="仿宋_GB2312" w:eastAsia="仿宋_GB2312"/>
              </w:rPr>
              <w:t>11.0000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主要材料保证措施</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供应商自2023年1月1日（含）以来（以合同签订时间为准）完成类似项目业绩的，每个得1分，本项最高得3分。 项目业绩必须同时提供：①采购合同；②验收证明材料。 [注：同一项目一次或多次签订的合同的视为一个项目，不重复累计。] 若供应商提供虚假业绩资料，采购人有权取消其成交资格，并承担相应后果。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w:t>
            </w:r>
          </w:p>
        </w:tc>
      </w:tr>
      <w:tr>
        <w:tc>
          <w:tcPr>
            <w:tcW w:type="dxa" w:w="831"/>
            <w:vMerge/>
          </w:tcPr>
          <w:p/>
        </w:tc>
        <w:tc>
          <w:tcPr>
            <w:tcW w:type="dxa" w:w="1661"/>
          </w:tcPr>
          <w:p>
            <w:pPr>
              <w:pStyle w:val="null5"/>
              <w:jc w:val="left"/>
            </w:pPr>
            <w:r>
              <w:rPr>
                <w:rFonts w:ascii="仿宋_GB2312" w:hAnsi="仿宋_GB2312" w:cs="仿宋_GB2312" w:eastAsia="仿宋_GB2312"/>
              </w:rPr>
              <w:t>全生命周期成本</w:t>
            </w:r>
          </w:p>
        </w:tc>
        <w:tc>
          <w:tcPr>
            <w:tcW w:type="dxa" w:w="2575"/>
          </w:tcPr>
          <w:p>
            <w:pPr>
              <w:pStyle w:val="null5"/>
              <w:jc w:val="left"/>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全生命周期成本</w:t>
            </w:r>
          </w:p>
        </w:tc>
      </w:tr>
      <w:tr>
        <w:tc>
          <w:tcPr>
            <w:tcW w:type="dxa" w:w="831"/>
            <w:vMerge/>
          </w:tcPr>
          <w:p/>
        </w:tc>
        <w:tc>
          <w:tcPr>
            <w:tcW w:type="dxa" w:w="1661"/>
          </w:tcPr>
          <w:p>
            <w:pPr>
              <w:pStyle w:val="null5"/>
              <w:jc w:val="left"/>
            </w:pPr>
            <w:r>
              <w:rPr>
                <w:rFonts w:ascii="仿宋_GB2312" w:hAnsi="仿宋_GB2312" w:cs="仿宋_GB2312" w:eastAsia="仿宋_GB2312"/>
              </w:rPr>
              <w:t>工程质量保修期</w:t>
            </w:r>
          </w:p>
        </w:tc>
        <w:tc>
          <w:tcPr>
            <w:tcW w:type="dxa" w:w="2575"/>
          </w:tcPr>
          <w:p>
            <w:pPr>
              <w:pStyle w:val="null5"/>
              <w:jc w:val="left"/>
            </w:pPr>
            <w:r>
              <w:rPr>
                <w:rFonts w:ascii="仿宋_GB2312" w:hAnsi="仿宋_GB2312" w:cs="仿宋_GB2312" w:eastAsia="仿宋_GB2312"/>
              </w:rPr>
              <w:t>工程质量保修期在满足磋商文件要求的基础上延长一年得2分，最多得2分。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工程质量保修期</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（1）山东石油化工学院汛期修复工程响应报价低于全部通过符合性审查供应商响应报价平均值50%的，即山东石油化工学院汛期修复工程响应报价&lt;全部通过符合性审查供应商响应报价平均值×50%。 （2）山东石油化工学院汛期修复工程响应报价低于通过符合性审查且报价次低供应商响应报价50%的，即山东石油化工学院汛期修复工程响应报价&lt;通过符合性审查且报价次低供应商响应报价×50%。 （3）山东石油化工学院汛期修复工程响应报价低于最高限价45%的，即山东石油化工学院汛期修复工程响应报价&lt;最高限价×45%。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节能、环保评分项</w:t>
            </w:r>
          </w:p>
        </w:tc>
        <w:tc>
          <w:tcPr>
            <w:tcW w:type="dxa" w:w="2575"/>
          </w:tcPr>
          <w:p>
            <w:pPr>
              <w:pStyle w:val="null5"/>
              <w:jc w:val="left"/>
            </w:pPr>
            <w:r>
              <w:rPr>
                <w:rFonts w:ascii="仿宋_GB2312" w:hAnsi="仿宋_GB2312" w:cs="仿宋_GB2312" w:eastAsia="仿宋_GB2312"/>
              </w:rPr>
              <w:t>1.若所投货物为品目清单内的节能或环境标志产品（不含品目清单强制采购范围产品），在其报价分值基础上分别根据节能或环境标志产品占总报价相应比例加分，计算公式如下： 报价部分加分=【（节能产品报价＋环境标志产品报价）/总报价】×价格评审总分值10×5% 。 2.若所投货物为品目清单内的节能或环境标志产品（不含品目清单强制采购范围产品），在其技术分值基础上分别根据节能或环境标志产品占总报价相应比例加分，计算公式如下： 技术部分加分=【（节能产品报价＋环境标志产品报价）/总报价】×技术评审总分值82×5% 。</w:t>
            </w:r>
          </w:p>
        </w:tc>
        <w:tc>
          <w:tcPr>
            <w:tcW w:type="dxa" w:w="831"/>
          </w:tcPr>
          <w:p>
            <w:pPr>
              <w:pStyle w:val="null5"/>
              <w:jc w:val="center"/>
            </w:pPr>
            <w:r>
              <w:rPr>
                <w:rFonts w:ascii="仿宋_GB2312" w:hAnsi="仿宋_GB2312" w:cs="仿宋_GB2312" w:eastAsia="仿宋_GB2312"/>
              </w:rPr>
              <w:t>9.2000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节能环保政策</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5.00%</w:t>
            </w:r>
          </w:p>
        </w:tc>
        <w:tc>
          <w:tcPr>
            <w:tcW w:type="dxa" w:w="1661"/>
          </w:tcPr>
          <w:p>
            <w:pPr>
              <w:pStyle w:val="null5"/>
              <w:jc w:val="left"/>
            </w:pPr>
            <w:r>
              <w:rPr>
                <w:rFonts w:ascii="仿宋_GB2312" w:hAnsi="仿宋_GB2312" w:cs="仿宋_GB2312" w:eastAsia="仿宋_GB2312"/>
              </w:rPr>
              <w:t>根据《政府采购促进中小企业发展管理办法》（财库〔2020〕46 号）、《财政部司法部关于政府采购支持监狱企业发展有关问题的通知》（财库〔2014〕68号）和《财政部 民政部 中国残疾人联合会关于促进残疾人就业政府采购政策的通知》（财库〔2017〕141号）的规定，对满足价格扣除条件且在响应文件中提交了《中小企业声明函》《残疾人福利性单位声明函》或省级以上监狱管理局、戒毒管理局（含新疆生产建设兵团）出具的属于监狱企业的证明文件的供应商，其投标报价扣除5%后参与评审，否则投标报价得分计算时不予价格扣除。 5、监狱企业、残疾人福利性单位生产的产品视同小型、微型企业产品。对于同时属于小微企业、监狱企业或残疾人福利性单位的，不重复进行报价扣除。</w:t>
            </w:r>
          </w:p>
        </w:tc>
        <w:tc>
          <w:tcPr>
            <w:tcW w:type="dxa" w:w="1910"/>
          </w:tcPr>
          <w:p>
            <w:pPr>
              <w:pStyle w:val="null5"/>
              <w:jc w:val="left"/>
            </w:pPr>
            <w:r>
              <w:rPr>
                <w:rFonts w:ascii="仿宋_GB2312" w:hAnsi="仿宋_GB2312" w:cs="仿宋_GB2312" w:eastAsia="仿宋_GB2312"/>
              </w:rPr>
              <w:t>中小企业声明函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（1）山东石油化工学院汛期修复工程响应报价低于全部通过符合性审查供应商响应报价平均值50%的，即山东石油化工学院汛期修复工程响应报价&lt;全部通过符合性审查供应商响应报价平均值×50%。</w:t>
              <w:br/>
              <w:t>（2）山东石油化工学院汛期修复工程响应报价低于通过符合性审查且报价次低供应商响应报价50%的，即山东石油化工学院汛期修复工程响应报价&lt;通过符合性审查且报价次低供应商响应报价×50%。</w:t>
              <w:br/>
              <w:t>（3）山东石油化工学院汛期修复工程响应报价低于最高限价45%的，即山东石油化工学院汛期修复工程响应报价&lt;最高限价×45%。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详见附件：业绩</w:t>
      </w:r>
    </w:p>
    <w:p>
      <w:pPr>
        <w:pStyle w:val="null5"/>
        <w:ind w:firstLine="960"/>
        <w:jc w:val="left"/>
      </w:pPr>
      <w:r>
        <w:rPr>
          <w:rFonts w:ascii="仿宋_GB2312" w:hAnsi="仿宋_GB2312" w:cs="仿宋_GB2312" w:eastAsia="仿宋_GB2312"/>
        </w:rPr>
        <w:t>详见附件：全生命周期成本</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详见附件：供应商认为需要提交的其他商务文件</w:t>
      </w:r>
    </w:p>
    <w:p>
      <w:pPr>
        <w:pStyle w:val="null5"/>
        <w:ind w:firstLine="960"/>
        <w:jc w:val="left"/>
      </w:pPr>
      <w:r>
        <w:rPr>
          <w:rFonts w:ascii="仿宋_GB2312" w:hAnsi="仿宋_GB2312" w:cs="仿宋_GB2312" w:eastAsia="仿宋_GB2312"/>
        </w:rPr>
        <w:t>详见附件：工程质量保修期</w:t>
      </w:r>
    </w:p>
    <w:p>
      <w:pPr>
        <w:pStyle w:val="null5"/>
        <w:ind w:firstLine="960"/>
        <w:jc w:val="left"/>
      </w:pPr>
      <w:r>
        <w:rPr>
          <w:rFonts w:ascii="仿宋_GB2312" w:hAnsi="仿宋_GB2312" w:cs="仿宋_GB2312" w:eastAsia="仿宋_GB2312"/>
        </w:rPr>
        <w:t>详见附件：施工方案</w:t>
      </w:r>
    </w:p>
    <w:p>
      <w:pPr>
        <w:pStyle w:val="null5"/>
        <w:ind w:firstLine="960"/>
        <w:jc w:val="left"/>
      </w:pPr>
      <w:r>
        <w:rPr>
          <w:rFonts w:ascii="仿宋_GB2312" w:hAnsi="仿宋_GB2312" w:cs="仿宋_GB2312" w:eastAsia="仿宋_GB2312"/>
        </w:rPr>
        <w:t>详见附件：项目管理班子配备</w:t>
      </w:r>
    </w:p>
    <w:p>
      <w:pPr>
        <w:pStyle w:val="null5"/>
        <w:ind w:firstLine="960"/>
        <w:jc w:val="left"/>
      </w:pPr>
      <w:r>
        <w:rPr>
          <w:rFonts w:ascii="仿宋_GB2312" w:hAnsi="仿宋_GB2312" w:cs="仿宋_GB2312" w:eastAsia="仿宋_GB2312"/>
        </w:rPr>
        <w:t>详见附件：质量保证措施</w:t>
      </w:r>
    </w:p>
    <w:p>
      <w:pPr>
        <w:pStyle w:val="null5"/>
        <w:ind w:firstLine="960"/>
        <w:jc w:val="left"/>
      </w:pPr>
      <w:r>
        <w:rPr>
          <w:rFonts w:ascii="仿宋_GB2312" w:hAnsi="仿宋_GB2312" w:cs="仿宋_GB2312" w:eastAsia="仿宋_GB2312"/>
        </w:rPr>
        <w:t>详见附件：安全文明施工措施</w:t>
      </w:r>
    </w:p>
    <w:p>
      <w:pPr>
        <w:pStyle w:val="null5"/>
        <w:ind w:firstLine="960"/>
        <w:jc w:val="left"/>
      </w:pPr>
      <w:r>
        <w:rPr>
          <w:rFonts w:ascii="仿宋_GB2312" w:hAnsi="仿宋_GB2312" w:cs="仿宋_GB2312" w:eastAsia="仿宋_GB2312"/>
        </w:rPr>
        <w:t>详见附件：工期安排</w:t>
      </w:r>
    </w:p>
    <w:p>
      <w:pPr>
        <w:pStyle w:val="null5"/>
        <w:ind w:firstLine="960"/>
        <w:jc w:val="left"/>
      </w:pPr>
      <w:r>
        <w:rPr>
          <w:rFonts w:ascii="仿宋_GB2312" w:hAnsi="仿宋_GB2312" w:cs="仿宋_GB2312" w:eastAsia="仿宋_GB2312"/>
        </w:rPr>
        <w:t>详见附件：成品保护措施</w:t>
      </w:r>
    </w:p>
    <w:p>
      <w:pPr>
        <w:pStyle w:val="null5"/>
        <w:ind w:firstLine="960"/>
        <w:jc w:val="left"/>
      </w:pPr>
      <w:r>
        <w:rPr>
          <w:rFonts w:ascii="仿宋_GB2312" w:hAnsi="仿宋_GB2312" w:cs="仿宋_GB2312" w:eastAsia="仿宋_GB2312"/>
        </w:rPr>
        <w:t>详见附件：主要材料保证措施</w:t>
      </w:r>
    </w:p>
    <w:p>
      <w:pPr>
        <w:pStyle w:val="null5"/>
        <w:ind w:firstLine="960"/>
        <w:jc w:val="left"/>
      </w:pPr>
      <w:r>
        <w:rPr>
          <w:rFonts w:ascii="仿宋_GB2312" w:hAnsi="仿宋_GB2312" w:cs="仿宋_GB2312" w:eastAsia="仿宋_GB2312"/>
        </w:rPr>
        <w:t>详见附件：封面</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详见附件：报价表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详见附件：响应函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详见附件：法定代表人身份证明、法定代表人授权委托书</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详见附件：农民工工资无拖欠承诺书</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详见附件：中小企业声明函</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详见附件：节能环保政策</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详见附件：不参与串通投标承诺书</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详见附件：企业基本概况</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