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竞争性磋商文件</w:t>
      </w:r>
    </w:p>
    <w:p>
      <w:pPr>
        <w:pStyle w:val="null5"/>
        <w:jc w:val="center"/>
        <w:outlineLvl w:val="0"/>
      </w:pPr>
      <w:r>
        <w:rPr>
          <w:rFonts w:ascii="仿宋_GB2312" w:hAnsi="仿宋_GB2312" w:cs="仿宋_GB2312" w:eastAsia="仿宋_GB2312"/>
          <w:sz w:val="48"/>
          <w:b/>
        </w:rPr>
        <w:t>（货物类）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山东石油化工学院高分子物理实验室新建项目</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SDGP370000000202602007356</w:t>
      </w:r>
    </w:p>
    <w:p>
      <w:pPr>
        <w:pStyle w:val="null5"/>
        <w:jc w:val="left"/>
        <w:outlineLvl w:val="2"/>
      </w:pPr>
      <w:r>
        <w:rPr>
          <w:rFonts w:ascii="仿宋_GB2312" w:hAnsi="仿宋_GB2312" w:cs="仿宋_GB2312" w:eastAsia="仿宋_GB2312"/>
          <w:sz w:val="28"/>
          <w:b/>
        </w:rPr>
        <w:t>采购人：</w:t>
      </w:r>
      <w:r>
        <w:rPr>
          <w:rFonts w:ascii="仿宋_GB2312" w:hAnsi="仿宋_GB2312" w:cs="仿宋_GB2312" w:eastAsia="仿宋_GB2312"/>
          <w:sz w:val="28"/>
          <w:b/>
        </w:rPr>
        <w:t>山东石油化工学院</w:t>
      </w:r>
    </w:p>
    <w:p>
      <w:pPr>
        <w:pStyle w:val="null5"/>
        <w:jc w:val="center"/>
        <w:outlineLvl w:val="2"/>
      </w:pPr>
      <w:r>
        <w:rPr>
          <w:rFonts w:ascii="仿宋_GB2312" w:hAnsi="仿宋_GB2312" w:cs="仿宋_GB2312" w:eastAsia="仿宋_GB2312"/>
          <w:sz w:val="28"/>
          <w:b/>
        </w:rPr>
        <w:t>采购代理机构：</w:t>
      </w:r>
      <w:r>
        <w:rPr>
          <w:rFonts w:ascii="仿宋_GB2312" w:hAnsi="仿宋_GB2312" w:cs="仿宋_GB2312" w:eastAsia="仿宋_GB2312"/>
          <w:sz w:val="28"/>
          <w:b/>
        </w:rPr>
        <w:t>胜利油田同舟招标代理有限公司</w:t>
      </w:r>
    </w:p>
    <w:p>
      <w:pPr>
        <w:pStyle w:val="null5"/>
        <w:jc w:val="center"/>
      </w:pPr>
      <w:r>
        <w:rPr>
          <w:rFonts w:ascii="仿宋_GB2312" w:hAnsi="仿宋_GB2312" w:cs="仿宋_GB2312" w:eastAsia="仿宋_GB2312"/>
        </w:rPr>
        <w:t>2026年08月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竞争性磋商邀请</w:t>
      </w:r>
    </w:p>
    <w:p>
      <w:pPr>
        <w:pStyle w:val="null5"/>
        <w:ind w:firstLine="480"/>
        <w:jc w:val="left"/>
      </w:pPr>
      <w:r>
        <w:rPr>
          <w:rFonts w:ascii="仿宋_GB2312" w:hAnsi="仿宋_GB2312" w:cs="仿宋_GB2312" w:eastAsia="仿宋_GB2312"/>
        </w:rPr>
        <w:t>胜利油田同舟招标代理有限公司</w:t>
      </w:r>
      <w:r>
        <w:rPr>
          <w:rFonts w:ascii="仿宋_GB2312" w:hAnsi="仿宋_GB2312" w:cs="仿宋_GB2312" w:eastAsia="仿宋_GB2312"/>
        </w:rPr>
        <w:t xml:space="preserve"> （以下简称“代理机构”）受</w:t>
      </w:r>
      <w:r>
        <w:rPr>
          <w:rFonts w:ascii="仿宋_GB2312" w:hAnsi="仿宋_GB2312" w:cs="仿宋_GB2312" w:eastAsia="仿宋_GB2312"/>
        </w:rPr>
        <w:t>山东石油化工学院</w:t>
      </w:r>
      <w:r>
        <w:rPr>
          <w:rFonts w:ascii="仿宋_GB2312" w:hAnsi="仿宋_GB2312" w:cs="仿宋_GB2312" w:eastAsia="仿宋_GB2312"/>
        </w:rPr>
        <w:t xml:space="preserve"> （以下简称“采购人”）委托，对</w:t>
      </w:r>
      <w:r>
        <w:rPr>
          <w:rFonts w:ascii="仿宋_GB2312" w:hAnsi="仿宋_GB2312" w:cs="仿宋_GB2312" w:eastAsia="仿宋_GB2312"/>
        </w:rPr>
        <w:t>山东石油化工学院高分子物理实验室新建项目</w:t>
      </w:r>
      <w:r>
        <w:rPr>
          <w:rFonts w:ascii="仿宋_GB2312" w:hAnsi="仿宋_GB2312" w:cs="仿宋_GB2312" w:eastAsia="仿宋_GB2312"/>
        </w:rPr>
        <w:t>采用竞争性磋商方式进行采购，兹邀请潜在供应商参加。本项目为山东省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5"/>
        <w:ind w:firstLine="480"/>
        <w:jc w:val="left"/>
        <w:outlineLvl w:val="2"/>
      </w:pPr>
      <w:r>
        <w:rPr>
          <w:rFonts w:ascii="仿宋_GB2312" w:hAnsi="仿宋_GB2312" w:cs="仿宋_GB2312" w:eastAsia="仿宋_GB2312"/>
          <w:sz w:val="28"/>
          <w:b/>
        </w:rPr>
        <w:t>1.1.项目编号：</w:t>
      </w:r>
      <w:r>
        <w:rPr>
          <w:rFonts w:ascii="仿宋_GB2312" w:hAnsi="仿宋_GB2312" w:cs="仿宋_GB2312" w:eastAsia="仿宋_GB2312"/>
          <w:sz w:val="28"/>
          <w:b/>
        </w:rPr>
        <w:t>SDGP370000000202602007356</w:t>
      </w:r>
    </w:p>
    <w:p>
      <w:pPr>
        <w:pStyle w:val="null5"/>
        <w:ind w:firstLine="480"/>
        <w:jc w:val="left"/>
        <w:outlineLvl w:val="2"/>
      </w:pPr>
      <w:r>
        <w:rPr>
          <w:rFonts w:ascii="仿宋_GB2312" w:hAnsi="仿宋_GB2312" w:cs="仿宋_GB2312" w:eastAsia="仿宋_GB2312"/>
          <w:sz w:val="28"/>
          <w:b/>
        </w:rPr>
        <w:t xml:space="preserve">1.2.项目名称： </w:t>
      </w:r>
      <w:r>
        <w:rPr>
          <w:rFonts w:ascii="仿宋_GB2312" w:hAnsi="仿宋_GB2312" w:cs="仿宋_GB2312" w:eastAsia="仿宋_GB2312"/>
          <w:sz w:val="28"/>
          <w:b/>
        </w:rPr>
        <w:t>山东石油化工学院高分子物理实验室新建项目</w:t>
      </w:r>
    </w:p>
    <w:p>
      <w:pPr>
        <w:pStyle w:val="null5"/>
        <w:ind w:firstLine="480"/>
        <w:jc w:val="left"/>
        <w:outlineLvl w:val="2"/>
      </w:pPr>
      <w:r>
        <w:rPr>
          <w:rFonts w:ascii="仿宋_GB2312" w:hAnsi="仿宋_GB2312" w:cs="仿宋_GB2312" w:eastAsia="仿宋_GB2312"/>
          <w:sz w:val="28"/>
          <w:b/>
        </w:rPr>
        <w:t>1.3.项目简介</w:t>
      </w:r>
    </w:p>
    <w:p>
      <w:pPr>
        <w:pStyle w:val="null5"/>
        <w:ind w:firstLine="480"/>
        <w:jc w:val="left"/>
      </w:pPr>
      <w:r>
        <w:rPr>
          <w:rFonts w:ascii="仿宋_GB2312" w:hAnsi="仿宋_GB2312" w:cs="仿宋_GB2312" w:eastAsia="仿宋_GB2312"/>
        </w:rPr>
        <w:t>本项目为山东石油化工学院高分子物理实验室新建项目。共分为1个包，具体采购内容及技术要求详见采购文件具体要求。</w:t>
      </w:r>
    </w:p>
    <w:p>
      <w:pPr>
        <w:pStyle w:val="null5"/>
        <w:ind w:firstLine="480"/>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本项目以公告的方式邀请供应商，公告在“中国山东政府采购网”（www.ccgp-shandong.gov.cn）发布。</w:t>
      </w:r>
    </w:p>
    <w:p>
      <w:pPr>
        <w:pStyle w:val="null5"/>
        <w:ind w:firstLine="480"/>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供应商具有独立承担民事责任的能力：提供有效的营业执照或者事业单位法人证书或者民办非企业单位、社会团体法人等的登记证书等证明文件或者自然人的身份证明（自然人身份证明仅在自然人作为投标主体时适用）。（提供原件扫描件或复印件加盖公章）</w:t>
      </w:r>
    </w:p>
    <w:p>
      <w:pPr>
        <w:pStyle w:val="null5"/>
        <w:jc w:val="left"/>
      </w:pPr>
      <w:r>
        <w:rPr>
          <w:rFonts w:ascii="仿宋_GB2312" w:hAnsi="仿宋_GB2312" w:cs="仿宋_GB2312" w:eastAsia="仿宋_GB2312"/>
        </w:rPr>
        <w:t>2、供应商具有良好的商业信誉和健全的财务会计制度：提供2025年度由有法定资格的中介机构出具的财务审计报告。供应商未提供财务审计报告的，应当提供基本开户银行出具的资信证明。中小企业可提供财政部门认可的政府采购专业担保机构出具的投标担保函。（提供原件扫描件或复印件加盖公章）</w:t>
      </w:r>
    </w:p>
    <w:p>
      <w:pPr>
        <w:pStyle w:val="null5"/>
        <w:jc w:val="left"/>
      </w:pPr>
      <w:r>
        <w:rPr>
          <w:rFonts w:ascii="仿宋_GB2312" w:hAnsi="仿宋_GB2312" w:cs="仿宋_GB2312" w:eastAsia="仿宋_GB2312"/>
        </w:rPr>
        <w:t>3、供应商具有履行合同所必需的设备和专业技术能力：具有履行政府采购合同所必需的设备和专业技术能力声明函。（提供原件扫描件或复印件加盖公章）</w:t>
      </w:r>
    </w:p>
    <w:p>
      <w:pPr>
        <w:pStyle w:val="null5"/>
        <w:jc w:val="left"/>
      </w:pPr>
      <w:r>
        <w:rPr>
          <w:rFonts w:ascii="仿宋_GB2312" w:hAnsi="仿宋_GB2312" w:cs="仿宋_GB2312" w:eastAsia="仿宋_GB2312"/>
        </w:rPr>
        <w:t>4、供应商具有依法缴纳税收和社会保障资金的良好记录：（1）提供依法缴纳近半年内任意一个月税收的凭据（或纳税申报）或依法缴纳税收和社会保障资金承诺函；（2）提供依法缴纳近半年内任意一个月社会保险的凭据或依法缴纳税收和社会保障资金承诺函；（3）依法免税或不需要缴纳社会保险的供应商，应提供相应文件证明其依法免税或不需要缴纳社会保险。注：（1）在山东省境内注册的供应商参与本项目，且可通过“中国山东政府采购网”查询缴纳税收和社会保障资金信息的，可在响应文件中提供《依法缴纳税收和社会保障资金承诺函》。供应商可登录“中国山东政府采购网”(www.ccgp-shandong.gov.cn)，在“开评标管理”栏目中查询本单位在山东省缴纳税收和社会保障资金的情况。（2）以下情形不适用提供《依法缴纳税收和社会保障资金承诺函》，应按照竞争性磋商文件要求提供相关证明材料。①供应商登录“中国山东政府采购网”查询缴纳税收和社会保障资金信息反馈无相关信息的。②依法免税或不需要缴纳社会保障资金的。③未在山东省内缴纳税收和社会保障资金的供应商。④其他不适用依法缴纳税收和社会保障资金承诺制的情形。（提供原件扫描件或复印件加盖公章）</w:t>
      </w:r>
    </w:p>
    <w:p>
      <w:pPr>
        <w:pStyle w:val="null5"/>
        <w:jc w:val="left"/>
      </w:pPr>
      <w:r>
        <w:rPr>
          <w:rFonts w:ascii="仿宋_GB2312" w:hAnsi="仿宋_GB2312" w:cs="仿宋_GB2312" w:eastAsia="仿宋_GB2312"/>
        </w:rPr>
        <w:t>5、供应商参加政府采购活动前三年内，在经营活动中没有重大违法记录：参加本次政府采购活动前近三年内在经营活动中没有重大违法记录的书面声明函。（提供原件扫描件或复印件加盖公章）</w:t>
      </w:r>
    </w:p>
    <w:p>
      <w:pPr>
        <w:pStyle w:val="null5"/>
        <w:jc w:val="left"/>
      </w:pPr>
      <w:r>
        <w:rPr>
          <w:rFonts w:ascii="仿宋_GB2312" w:hAnsi="仿宋_GB2312" w:cs="仿宋_GB2312" w:eastAsia="仿宋_GB2312"/>
        </w:rPr>
        <w:t>6、供应商无不良信用记录：未被列入信用中国网站（www.creditchina.gov.cn）、中国政府采购网（www.ccgp.gov.cn）渠道信用记录失信被执行人、重大税收违法案件当事人名单、政府采购严重违法失信行为记录名单。本项由采购代理机构现场核查。</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采购包1：不属于专门面向中小企业采购。</w:t>
      </w:r>
    </w:p>
    <w:p>
      <w:pPr>
        <w:pStyle w:val="null5"/>
        <w:ind w:firstLine="480"/>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ind w:firstLine="480"/>
        <w:jc w:val="left"/>
        <w:outlineLvl w:val="2"/>
      </w:pPr>
      <w:r>
        <w:rPr>
          <w:rFonts w:ascii="仿宋_GB2312" w:hAnsi="仿宋_GB2312" w:cs="仿宋_GB2312" w:eastAsia="仿宋_GB2312"/>
          <w:sz w:val="28"/>
          <w:b/>
        </w:rPr>
        <w:t>1.6.磋商文件获取时间、方式及地址</w:t>
      </w:r>
    </w:p>
    <w:p>
      <w:pPr>
        <w:pStyle w:val="null5"/>
        <w:ind w:firstLine="480"/>
        <w:jc w:val="left"/>
      </w:pPr>
      <w:r>
        <w:rPr>
          <w:rFonts w:ascii="仿宋_GB2312" w:hAnsi="仿宋_GB2312" w:cs="仿宋_GB2312" w:eastAsia="仿宋_GB2312"/>
        </w:rPr>
        <w:t>一、磋商文件获取时间、方式及地址：详见采购公告。</w:t>
      </w:r>
    </w:p>
    <w:p>
      <w:pPr>
        <w:pStyle w:val="null5"/>
        <w:ind w:firstLine="480"/>
        <w:jc w:val="both"/>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5"/>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1.7.提交响应文件截止时间及开启时间、方式、地点</w:t>
      </w:r>
    </w:p>
    <w:p>
      <w:pPr>
        <w:pStyle w:val="null5"/>
        <w:ind w:firstLine="480"/>
        <w:jc w:val="left"/>
      </w:pPr>
      <w:r>
        <w:rPr>
          <w:rFonts w:ascii="仿宋_GB2312" w:hAnsi="仿宋_GB2312" w:cs="仿宋_GB2312" w:eastAsia="仿宋_GB2312"/>
        </w:rPr>
        <w:t>一、提交响应文件截止时间及开启时间、方式、地点：详见采购公告。</w:t>
      </w:r>
    </w:p>
    <w:p>
      <w:pPr>
        <w:pStyle w:val="null5"/>
        <w:ind w:firstLine="480"/>
        <w:jc w:val="left"/>
      </w:pPr>
      <w:r>
        <w:rPr>
          <w:rFonts w:ascii="仿宋_GB2312" w:hAnsi="仿宋_GB2312" w:cs="仿宋_GB2312" w:eastAsia="仿宋_GB2312"/>
        </w:rPr>
        <w:t>二、供应商应当在提交响应文件截止时间前，通过交易系统提交响应文件。成功提交的，供应商将收到已提交响应文件的回执单。</w:t>
      </w:r>
    </w:p>
    <w:p>
      <w:pPr>
        <w:pStyle w:val="null5"/>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5"/>
        <w:ind w:firstLine="480"/>
        <w:jc w:val="left"/>
        <w:outlineLvl w:val="2"/>
      </w:pPr>
      <w:r>
        <w:rPr>
          <w:rFonts w:ascii="仿宋_GB2312" w:hAnsi="仿宋_GB2312" w:cs="仿宋_GB2312" w:eastAsia="仿宋_GB2312"/>
          <w:sz w:val="28"/>
          <w:b/>
        </w:rPr>
        <w:t>1.8.电子化采购相关事项</w:t>
      </w:r>
    </w:p>
    <w:p>
      <w:pPr>
        <w:pStyle w:val="null5"/>
        <w:ind w:firstLine="480"/>
        <w:jc w:val="left"/>
      </w:pPr>
      <w:r>
        <w:rPr>
          <w:rFonts w:ascii="仿宋_GB2312" w:hAnsi="仿宋_GB2312" w:cs="仿宋_GB2312" w:eastAsia="仿宋_GB2312"/>
        </w:rPr>
        <w:t>本项目实行电子化采购，供应商应当按照以下要求，参与本次电子化采购活动。</w:t>
      </w:r>
    </w:p>
    <w:p>
      <w:pPr>
        <w:pStyle w:val="null5"/>
        <w:ind w:firstLine="480"/>
        <w:jc w:val="left"/>
      </w:pPr>
      <w:r>
        <w:rPr>
          <w:rFonts w:ascii="仿宋_GB2312" w:hAnsi="仿宋_GB2312" w:cs="仿宋_GB2312" w:eastAsia="仿宋_GB2312"/>
        </w:rPr>
        <w:t>一、供应商参与本项目电子化采购活动的范围主要包括：获取磋商文件，编制、签章、加密并提交响应文件，参加开启、解密响应文件和电子评审等。</w:t>
      </w:r>
    </w:p>
    <w:p>
      <w:pPr>
        <w:pStyle w:val="null5"/>
        <w:ind w:firstLine="480"/>
        <w:jc w:val="left"/>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山东省政府采购电子交易系统供应商操作手册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山东石油化工学院</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东营市东营区北二路500号</w:t>
      </w:r>
    </w:p>
    <w:p>
      <w:pPr>
        <w:pStyle w:val="null5"/>
      </w:pPr>
      <w:r>
        <w:rPr>
          <w:rFonts w:ascii="仿宋_GB2312" w:hAnsi="仿宋_GB2312" w:cs="仿宋_GB2312" w:eastAsia="仿宋_GB2312"/>
        </w:rPr>
        <w:t xml:space="preserve"> 邮编： </w:t>
      </w:r>
      <w:r>
        <w:rPr>
          <w:rFonts w:ascii="仿宋_GB2312" w:hAnsi="仿宋_GB2312" w:cs="仿宋_GB2312" w:eastAsia="仿宋_GB2312"/>
        </w:rPr>
        <w:t>257061</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山东石油化工学院</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0546-7396500</w:t>
      </w:r>
    </w:p>
    <w:p>
      <w:pPr>
        <w:pStyle w:val="null5"/>
        <w:ind w:firstLine="480"/>
        <w:jc w:val="left"/>
      </w:pPr>
      <w:r>
        <w:rPr>
          <w:rFonts w:ascii="仿宋_GB2312" w:hAnsi="仿宋_GB2312" w:cs="仿宋_GB2312" w:eastAsia="仿宋_GB2312"/>
        </w:rPr>
        <w:t xml:space="preserve">代理机构： </w:t>
      </w:r>
      <w:r>
        <w:rPr>
          <w:rFonts w:ascii="仿宋_GB2312" w:hAnsi="仿宋_GB2312" w:cs="仿宋_GB2312" w:eastAsia="仿宋_GB2312"/>
        </w:rPr>
        <w:t>胜利油田同舟招标代理有限公司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东营市辽河路与沂州路交叉路口往东50米路北青年创业街区E座312室</w:t>
      </w:r>
    </w:p>
    <w:p>
      <w:pPr>
        <w:pStyle w:val="null5"/>
      </w:pPr>
      <w:r>
        <w:rPr>
          <w:rFonts w:ascii="仿宋_GB2312" w:hAnsi="仿宋_GB2312" w:cs="仿宋_GB2312" w:eastAsia="仿宋_GB2312"/>
        </w:rPr>
        <w:t xml:space="preserve"> 邮编： </w:t>
      </w:r>
      <w:r>
        <w:rPr>
          <w:rFonts w:ascii="仿宋_GB2312" w:hAnsi="仿宋_GB2312" w:cs="仿宋_GB2312" w:eastAsia="仿宋_GB2312"/>
        </w:rPr>
        <w:t xml:space="preserve"> 257091</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王强</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0546-8338187 18562951505 18562951508</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ind w:firstLine="480"/>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采购包1：1,092,500.00元</w:t>
            </w:r>
          </w:p>
          <w:p>
            <w:pPr>
              <w:pStyle w:val="null5"/>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评审方法</w:t>
            </w:r>
          </w:p>
        </w:tc>
        <w:tc>
          <w:tcPr>
            <w:tcW w:type="dxa" w:w="5814"/>
          </w:tcPr>
          <w:p>
            <w:pPr>
              <w:pStyle w:val="null5"/>
              <w:jc w:val="left"/>
            </w:pPr>
            <w:r>
              <w:rPr>
                <w:rFonts w:ascii="仿宋_GB2312" w:hAnsi="仿宋_GB2312" w:cs="仿宋_GB2312" w:eastAsia="仿宋_GB2312"/>
              </w:rPr>
              <w:t>综合评分法 （具体规则详见第五章）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 xml:space="preserve"> 如接受联合体，需符合以下要求：</w:t>
            </w:r>
          </w:p>
          <w:p>
            <w:pPr>
              <w:pStyle w:val="null5"/>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是否为特殊性质项目</w:t>
            </w:r>
          </w:p>
        </w:tc>
        <w:tc>
          <w:tcPr>
            <w:tcW w:type="dxa" w:w="5814"/>
          </w:tcPr>
          <w:p>
            <w:pPr>
              <w:pStyle w:val="null5"/>
              <w:jc w:val="left"/>
            </w:pPr>
            <w:r>
              <w:rPr>
                <w:rFonts w:ascii="仿宋_GB2312" w:hAnsi="仿宋_GB2312" w:cs="仿宋_GB2312" w:eastAsia="仿宋_GB2312"/>
              </w:rPr>
              <w:t>政府购买服务项目（含政府和社会资本合作项目）：</w:t>
            </w:r>
          </w:p>
          <w:p>
            <w:pPr>
              <w:pStyle w:val="null5"/>
              <w:jc w:val="left"/>
            </w:pPr>
            <w:r>
              <w:rPr>
                <w:rFonts w:ascii="仿宋_GB2312" w:hAnsi="仿宋_GB2312" w:cs="仿宋_GB2312" w:eastAsia="仿宋_GB2312"/>
              </w:rPr>
              <w:t xml:space="preserve"> 市场竞争不充分的科研项目：</w:t>
            </w:r>
          </w:p>
          <w:p>
            <w:pPr>
              <w:pStyle w:val="null5"/>
              <w:jc w:val="left"/>
            </w:pPr>
            <w:r>
              <w:rPr>
                <w:rFonts w:ascii="仿宋_GB2312" w:hAnsi="仿宋_GB2312" w:cs="仿宋_GB2312" w:eastAsia="仿宋_GB2312"/>
              </w:rPr>
              <w:t xml:space="preserve"> 需要扶持的科技成果转化项目：</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采购包1：不缴纳</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响应有效期</w:t>
            </w:r>
          </w:p>
        </w:tc>
        <w:tc>
          <w:tcPr>
            <w:tcW w:type="dxa" w:w="5814"/>
          </w:tcPr>
          <w:p>
            <w:pPr>
              <w:pStyle w:val="null5"/>
              <w:jc w:val="left"/>
            </w:pPr>
            <w:r>
              <w:rPr>
                <w:rFonts w:ascii="仿宋_GB2312" w:hAnsi="仿宋_GB2312" w:cs="仿宋_GB2312" w:eastAsia="仿宋_GB2312"/>
              </w:rPr>
              <w:t>90日</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代理服务费收费标准：参照国家计价格（2002）1980号文件、国家发改办价格[2003]857号文件规定下浮40%收取。</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采购结果公告</w:t>
            </w:r>
          </w:p>
        </w:tc>
        <w:tc>
          <w:tcPr>
            <w:tcW w:type="dxa" w:w="5814"/>
          </w:tcPr>
          <w:p>
            <w:pPr>
              <w:pStyle w:val="null5"/>
              <w:jc w:val="left"/>
            </w:pPr>
            <w:r>
              <w:rPr>
                <w:rFonts w:ascii="仿宋_GB2312" w:hAnsi="仿宋_GB2312" w:cs="仿宋_GB2312" w:eastAsia="仿宋_GB2312"/>
              </w:rPr>
              <w:t>采购结果将在“中国山东政府采购网”予以公告。</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是否组织潜在供应商现场考察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是否召开采购前答疑会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兼投不兼中</w:t>
            </w:r>
          </w:p>
        </w:tc>
        <w:tc>
          <w:tcPr>
            <w:tcW w:type="dxa" w:w="5814"/>
          </w:tcPr>
          <w:p>
            <w:pPr>
              <w:pStyle w:val="null5"/>
              <w:jc w:val="left"/>
            </w:pPr>
            <w:r>
              <w:rPr>
                <w:rFonts w:ascii="仿宋_GB2312" w:hAnsi="仿宋_GB2312" w:cs="仿宋_GB2312" w:eastAsia="仿宋_GB2312"/>
              </w:rPr>
              <w:t>本项目不涉及。</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 xml:space="preserve"> 一、交易系统发生故障（包括感染病毒、应用或数据库出错）而无法正常使用的；</w:t>
            </w:r>
          </w:p>
          <w:p>
            <w:pPr>
              <w:pStyle w:val="null5"/>
              <w:jc w:val="left"/>
            </w:pPr>
            <w:r>
              <w:rPr>
                <w:rFonts w:ascii="仿宋_GB2312" w:hAnsi="仿宋_GB2312" w:cs="仿宋_GB2312" w:eastAsia="仿宋_GB2312"/>
              </w:rPr>
              <w:t xml:space="preserve"> 二、因组织场所停电、断网等原因，导致采购活动无法继续通过交易系统实施的；</w:t>
            </w:r>
          </w:p>
          <w:p>
            <w:pPr>
              <w:pStyle w:val="null5"/>
              <w:jc w:val="left"/>
            </w:pPr>
            <w:r>
              <w:rPr>
                <w:rFonts w:ascii="仿宋_GB2312" w:hAnsi="仿宋_GB2312" w:cs="仿宋_GB2312" w:eastAsia="仿宋_GB2312"/>
              </w:rPr>
              <w:t xml:space="preserve"> 三、其他无法保证电子化交易的公平、公正和安全的情况。</w:t>
            </w:r>
          </w:p>
          <w:p>
            <w:pPr>
              <w:pStyle w:val="null5"/>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 xml:space="preserve"> 注：</w:t>
            </w:r>
          </w:p>
          <w:p>
            <w:pPr>
              <w:pStyle w:val="null5"/>
              <w:jc w:val="left"/>
            </w:pPr>
            <w:r>
              <w:rPr>
                <w:rFonts w:ascii="仿宋_GB2312" w:hAnsi="仿宋_GB2312" w:cs="仿宋_GB2312" w:eastAsia="仿宋_GB2312"/>
              </w:rPr>
              <w:t xml:space="preserve"> 1.平台系统故障认定以“中国山东政府采购网”发布的系统运维通知内容为准；</w:t>
            </w:r>
          </w:p>
          <w:p>
            <w:pPr>
              <w:pStyle w:val="null5"/>
              <w:jc w:val="left"/>
            </w:pPr>
            <w:r>
              <w:rPr>
                <w:rFonts w:ascii="仿宋_GB2312" w:hAnsi="仿宋_GB2312" w:cs="仿宋_GB2312" w:eastAsia="仿宋_GB2312"/>
              </w:rPr>
              <w:t xml:space="preserve"> 2.故障处理详见第二章规定。</w:t>
            </w:r>
          </w:p>
        </w:tc>
      </w:tr>
      <w:tr>
        <w:tc>
          <w:tcPr>
            <w:tcW w:type="dxa" w:w="831"/>
          </w:tcPr>
          <w:p>
            <w:pPr>
              <w:pStyle w:val="null5"/>
              <w:jc w:val="left"/>
            </w:pPr>
            <w:r>
              <w:rPr>
                <w:rFonts w:ascii="仿宋_GB2312" w:hAnsi="仿宋_GB2312" w:cs="仿宋_GB2312" w:eastAsia="仿宋_GB2312"/>
              </w:rPr>
              <w:t>14.</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831"/>
          </w:tcPr>
          <w:p>
            <w:pPr>
              <w:pStyle w:val="null5"/>
              <w:jc w:val="left"/>
            </w:pPr>
            <w:r>
              <w:rPr>
                <w:rFonts w:ascii="仿宋_GB2312" w:hAnsi="仿宋_GB2312" w:cs="仿宋_GB2312" w:eastAsia="仿宋_GB2312"/>
              </w:rPr>
              <w:t>15.</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本磋商文件所称的“以上”、“以下”、“内”、“以内”、“不少于”包括本数；所称的“不足”、“低于”、“超过”不包括本数。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left"/>
      </w:pPr>
      <w:r>
        <w:rPr>
          <w:rFonts w:ascii="仿宋_GB2312" w:hAnsi="仿宋_GB2312" w:cs="仿宋_GB2312" w:eastAsia="仿宋_GB2312"/>
        </w:rPr>
        <w:t>2.2.1.适用范围</w:t>
      </w:r>
    </w:p>
    <w:p>
      <w:pPr>
        <w:pStyle w:val="null5"/>
        <w:ind w:firstLine="480"/>
        <w:jc w:val="left"/>
      </w:pPr>
      <w:r>
        <w:rPr>
          <w:rFonts w:ascii="仿宋_GB2312" w:hAnsi="仿宋_GB2312" w:cs="仿宋_GB2312" w:eastAsia="仿宋_GB2312"/>
        </w:rPr>
        <w:t>一、本磋商文件仅适用于本次竞争性磋商采购项目。</w:t>
      </w:r>
    </w:p>
    <w:p>
      <w:pPr>
        <w:pStyle w:val="null5"/>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山东石油化工学院</w:t>
      </w:r>
      <w:r>
        <w:rPr>
          <w:rFonts w:ascii="仿宋_GB2312" w:hAnsi="仿宋_GB2312" w:cs="仿宋_GB2312" w:eastAsia="仿宋_GB2312"/>
        </w:rPr>
        <w:t xml:space="preserve"> 和 </w:t>
      </w:r>
      <w:r>
        <w:rPr>
          <w:rFonts w:ascii="仿宋_GB2312" w:hAnsi="仿宋_GB2312" w:cs="仿宋_GB2312" w:eastAsia="仿宋_GB2312"/>
        </w:rPr>
        <w:t>胜利油田同舟招标代理有限公司</w:t>
      </w:r>
      <w:r>
        <w:rPr>
          <w:rFonts w:ascii="仿宋_GB2312" w:hAnsi="仿宋_GB2312" w:cs="仿宋_GB2312" w:eastAsia="仿宋_GB2312"/>
        </w:rPr>
        <w:t xml:space="preserve"> 负责解释。</w:t>
      </w:r>
    </w:p>
    <w:p>
      <w:pPr>
        <w:pStyle w:val="null5"/>
        <w:ind w:firstLine="480"/>
        <w:jc w:val="left"/>
      </w:pPr>
      <w:r>
        <w:rPr>
          <w:rFonts w:ascii="仿宋_GB2312" w:hAnsi="仿宋_GB2312" w:cs="仿宋_GB2312" w:eastAsia="仿宋_GB2312"/>
        </w:rPr>
        <w:t>2.2.2.有关定义</w:t>
      </w:r>
    </w:p>
    <w:p>
      <w:pPr>
        <w:pStyle w:val="null5"/>
        <w:ind w:firstLine="480"/>
        <w:jc w:val="left"/>
      </w:pPr>
      <w:r>
        <w:rPr>
          <w:rFonts w:ascii="仿宋_GB2312" w:hAnsi="仿宋_GB2312" w:cs="仿宋_GB2312" w:eastAsia="仿宋_GB2312"/>
        </w:rPr>
        <w:t>一、“采购人”是指依法进行政府采购的国家机关、事业单位、团体组织。本次磋商的采购人是</w:t>
      </w:r>
      <w:r>
        <w:rPr>
          <w:rFonts w:ascii="仿宋_GB2312" w:hAnsi="仿宋_GB2312" w:cs="仿宋_GB2312" w:eastAsia="仿宋_GB2312"/>
        </w:rPr>
        <w:t>山东石油化工学院</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5"/>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胜利油田同舟招标代理有限公司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5"/>
        <w:ind w:firstLine="480"/>
        <w:jc w:val="left"/>
      </w:pPr>
      <w:r>
        <w:rPr>
          <w:rFonts w:ascii="仿宋_GB2312" w:hAnsi="仿宋_GB2312" w:cs="仿宋_GB2312" w:eastAsia="仿宋_GB2312"/>
        </w:rPr>
        <w:t>五、“电子评审”是指磋商小组开展资格审查、符合性审查、磋商、推荐成交候选供应商、出具磋商报告等活动。</w:t>
      </w:r>
    </w:p>
    <w:p>
      <w:pPr>
        <w:pStyle w:val="null5"/>
        <w:ind w:firstLine="480"/>
        <w:jc w:val="left"/>
        <w:outlineLvl w:val="2"/>
      </w:pPr>
      <w:r>
        <w:rPr>
          <w:rFonts w:ascii="仿宋_GB2312" w:hAnsi="仿宋_GB2312" w:cs="仿宋_GB2312" w:eastAsia="仿宋_GB2312"/>
          <w:sz w:val="28"/>
          <w:b/>
        </w:rPr>
        <w:t>2.3.磋商文件</w:t>
      </w:r>
    </w:p>
    <w:p>
      <w:pPr>
        <w:pStyle w:val="null5"/>
        <w:ind w:firstLine="480"/>
        <w:jc w:val="left"/>
      </w:pPr>
      <w:r>
        <w:rPr>
          <w:rFonts w:ascii="仿宋_GB2312" w:hAnsi="仿宋_GB2312" w:cs="仿宋_GB2312" w:eastAsia="仿宋_GB2312"/>
        </w:rPr>
        <w:t>2.3.1.磋商文件的构成</w:t>
      </w:r>
    </w:p>
    <w:p>
      <w:pPr>
        <w:pStyle w:val="null5"/>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5"/>
        <w:ind w:firstLine="480"/>
        <w:jc w:val="left"/>
      </w:pPr>
      <w:r>
        <w:rPr>
          <w:rFonts w:ascii="仿宋_GB2312" w:hAnsi="仿宋_GB2312" w:cs="仿宋_GB2312" w:eastAsia="仿宋_GB2312"/>
        </w:rPr>
        <w:t>一、竞争性磋商邀请；</w:t>
      </w:r>
    </w:p>
    <w:p>
      <w:pPr>
        <w:pStyle w:val="null5"/>
        <w:ind w:firstLine="480"/>
        <w:jc w:val="left"/>
      </w:pPr>
      <w:r>
        <w:rPr>
          <w:rFonts w:ascii="仿宋_GB2312" w:hAnsi="仿宋_GB2312" w:cs="仿宋_GB2312" w:eastAsia="仿宋_GB2312"/>
        </w:rPr>
        <w:t>二、供应商须知；</w:t>
      </w:r>
    </w:p>
    <w:p>
      <w:pPr>
        <w:pStyle w:val="null5"/>
        <w:ind w:firstLine="480"/>
        <w:jc w:val="left"/>
      </w:pPr>
      <w:r>
        <w:rPr>
          <w:rFonts w:ascii="仿宋_GB2312" w:hAnsi="仿宋_GB2312" w:cs="仿宋_GB2312" w:eastAsia="仿宋_GB2312"/>
        </w:rPr>
        <w:t>三、技术、服务及其他要求；</w:t>
      </w:r>
    </w:p>
    <w:p>
      <w:pPr>
        <w:pStyle w:val="null5"/>
        <w:ind w:firstLine="480"/>
        <w:jc w:val="left"/>
      </w:pPr>
      <w:r>
        <w:rPr>
          <w:rFonts w:ascii="仿宋_GB2312" w:hAnsi="仿宋_GB2312" w:cs="仿宋_GB2312" w:eastAsia="仿宋_GB2312"/>
        </w:rPr>
        <w:t>四、磋商过程中可实质性变动的内容；</w:t>
      </w:r>
    </w:p>
    <w:p>
      <w:pPr>
        <w:pStyle w:val="null5"/>
        <w:ind w:firstLine="480"/>
        <w:jc w:val="left"/>
      </w:pPr>
      <w:r>
        <w:rPr>
          <w:rFonts w:ascii="仿宋_GB2312" w:hAnsi="仿宋_GB2312" w:cs="仿宋_GB2312" w:eastAsia="仿宋_GB2312"/>
        </w:rPr>
        <w:t>五、评审办法；</w:t>
      </w:r>
    </w:p>
    <w:p>
      <w:pPr>
        <w:pStyle w:val="null5"/>
        <w:ind w:firstLine="480"/>
        <w:jc w:val="left"/>
      </w:pPr>
      <w:r>
        <w:rPr>
          <w:rFonts w:ascii="仿宋_GB2312" w:hAnsi="仿宋_GB2312" w:cs="仿宋_GB2312" w:eastAsia="仿宋_GB2312"/>
        </w:rPr>
        <w:t>六、响应文件格式；</w:t>
      </w:r>
    </w:p>
    <w:p>
      <w:pPr>
        <w:pStyle w:val="null5"/>
        <w:ind w:firstLine="480"/>
        <w:jc w:val="left"/>
      </w:pPr>
      <w:r>
        <w:rPr>
          <w:rFonts w:ascii="仿宋_GB2312" w:hAnsi="仿宋_GB2312" w:cs="仿宋_GB2312" w:eastAsia="仿宋_GB2312"/>
        </w:rPr>
        <w:t>七、拟签订采购合同文本。</w:t>
      </w:r>
    </w:p>
    <w:p>
      <w:pPr>
        <w:pStyle w:val="null5"/>
        <w:ind w:firstLine="480"/>
        <w:jc w:val="left"/>
      </w:pPr>
      <w:r>
        <w:rPr>
          <w:rFonts w:ascii="仿宋_GB2312" w:hAnsi="仿宋_GB2312" w:cs="仿宋_GB2312" w:eastAsia="仿宋_GB2312"/>
        </w:rPr>
        <w:t>2.3.2.磋商文件的澄清或者修改</w:t>
      </w:r>
    </w:p>
    <w:p>
      <w:pPr>
        <w:pStyle w:val="null5"/>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5"/>
        <w:ind w:firstLine="480"/>
        <w:jc w:val="left"/>
      </w:pPr>
      <w:r>
        <w:rPr>
          <w:rFonts w:ascii="仿宋_GB2312" w:hAnsi="仿宋_GB2312" w:cs="仿宋_GB2312" w:eastAsia="仿宋_GB2312"/>
        </w:rPr>
        <w:t>二、澄清或者修改的内容为磋商文件的组成部分，采购人或者代理机构将在“中国山东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5"/>
        <w:ind w:firstLine="480"/>
        <w:jc w:val="left"/>
      </w:pPr>
      <w:r>
        <w:rPr>
          <w:rFonts w:ascii="仿宋_GB2312" w:hAnsi="仿宋_GB2312" w:cs="仿宋_GB2312" w:eastAsia="仿宋_GB2312"/>
        </w:rPr>
        <w:t>三、供应商根据更正公告、更正信息要求，下载更正后的磋商文件，进行响应文件编制。</w:t>
      </w:r>
    </w:p>
    <w:p>
      <w:pPr>
        <w:pStyle w:val="null5"/>
        <w:ind w:firstLine="480"/>
        <w:jc w:val="left"/>
        <w:outlineLvl w:val="2"/>
      </w:pPr>
      <w:r>
        <w:rPr>
          <w:rFonts w:ascii="仿宋_GB2312" w:hAnsi="仿宋_GB2312" w:cs="仿宋_GB2312" w:eastAsia="仿宋_GB2312"/>
          <w:sz w:val="28"/>
          <w:b/>
        </w:rPr>
        <w:t>2.4.响应文件</w:t>
      </w:r>
    </w:p>
    <w:p>
      <w:pPr>
        <w:pStyle w:val="null5"/>
        <w:ind w:firstLine="480"/>
        <w:jc w:val="left"/>
      </w:pPr>
      <w:r>
        <w:rPr>
          <w:rFonts w:ascii="仿宋_GB2312" w:hAnsi="仿宋_GB2312" w:cs="仿宋_GB2312" w:eastAsia="仿宋_GB2312"/>
        </w:rPr>
        <w:t>2.4.1.响应文件的语言</w:t>
      </w:r>
    </w:p>
    <w:p>
      <w:pPr>
        <w:pStyle w:val="null5"/>
        <w:ind w:firstLine="480"/>
        <w:jc w:val="both"/>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5"/>
        <w:ind w:firstLine="480"/>
        <w:jc w:val="left"/>
      </w:pPr>
      <w:r>
        <w:rPr>
          <w:rFonts w:ascii="仿宋_GB2312" w:hAnsi="仿宋_GB2312" w:cs="仿宋_GB2312" w:eastAsia="仿宋_GB2312"/>
        </w:rPr>
        <w:t>（一）供应商的法定代表人为外籍人士的，法定代表人的签字和护照；</w:t>
      </w:r>
    </w:p>
    <w:p>
      <w:pPr>
        <w:pStyle w:val="null5"/>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5"/>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left"/>
      </w:pPr>
      <w:r>
        <w:rPr>
          <w:rFonts w:ascii="仿宋_GB2312" w:hAnsi="仿宋_GB2312" w:cs="仿宋_GB2312" w:eastAsia="仿宋_GB2312"/>
        </w:rPr>
        <w:t>三、如因未翻译而造成对供应商的不利后果，由供应商承担。</w:t>
      </w:r>
    </w:p>
    <w:p>
      <w:pPr>
        <w:pStyle w:val="null5"/>
        <w:ind w:firstLine="480"/>
        <w:jc w:val="left"/>
      </w:pPr>
      <w:r>
        <w:rPr>
          <w:rFonts w:ascii="仿宋_GB2312" w:hAnsi="仿宋_GB2312" w:cs="仿宋_GB2312" w:eastAsia="仿宋_GB2312"/>
        </w:rPr>
        <w:t>2.4.2.计量单位</w:t>
      </w:r>
    </w:p>
    <w:p>
      <w:pPr>
        <w:pStyle w:val="null5"/>
        <w:ind w:firstLine="480"/>
        <w:jc w:val="left"/>
      </w:pPr>
      <w:r>
        <w:rPr>
          <w:rFonts w:ascii="仿宋_GB2312" w:hAnsi="仿宋_GB2312" w:cs="仿宋_GB2312" w:eastAsia="仿宋_GB2312"/>
        </w:rPr>
        <w:t>除磋商文件中另有规定外，本项目均采用国家法定的计量单位。</w:t>
      </w:r>
    </w:p>
    <w:p>
      <w:pPr>
        <w:pStyle w:val="null5"/>
        <w:ind w:firstLine="480"/>
        <w:jc w:val="left"/>
      </w:pPr>
      <w:r>
        <w:rPr>
          <w:rFonts w:ascii="仿宋_GB2312" w:hAnsi="仿宋_GB2312" w:cs="仿宋_GB2312" w:eastAsia="仿宋_GB2312"/>
        </w:rPr>
        <w:t>2.4.3.响应货币</w:t>
      </w:r>
    </w:p>
    <w:p>
      <w:pPr>
        <w:pStyle w:val="null5"/>
        <w:ind w:firstLine="480"/>
        <w:jc w:val="left"/>
      </w:pPr>
      <w:r>
        <w:rPr>
          <w:rFonts w:ascii="仿宋_GB2312" w:hAnsi="仿宋_GB2312" w:cs="仿宋_GB2312" w:eastAsia="仿宋_GB2312"/>
        </w:rPr>
        <w:t>本项目均以人民币报价。</w:t>
      </w:r>
    </w:p>
    <w:p>
      <w:pPr>
        <w:pStyle w:val="null5"/>
        <w:ind w:firstLine="480"/>
        <w:jc w:val="left"/>
      </w:pPr>
      <w:r>
        <w:rPr>
          <w:rFonts w:ascii="仿宋_GB2312" w:hAnsi="仿宋_GB2312" w:cs="仿宋_GB2312" w:eastAsia="仿宋_GB2312"/>
        </w:rPr>
        <w:t>2.4.4.知识产权</w:t>
      </w:r>
    </w:p>
    <w:p>
      <w:pPr>
        <w:pStyle w:val="null5"/>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5"/>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5"/>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5"/>
        <w:ind w:firstLine="480"/>
        <w:jc w:val="left"/>
      </w:pPr>
      <w:r>
        <w:rPr>
          <w:rFonts w:ascii="仿宋_GB2312" w:hAnsi="仿宋_GB2312" w:cs="仿宋_GB2312" w:eastAsia="仿宋_GB2312"/>
        </w:rPr>
        <w:t>2.4.5.响应报价</w:t>
      </w:r>
    </w:p>
    <w:p>
      <w:pPr>
        <w:pStyle w:val="null5"/>
        <w:ind w:firstLine="480"/>
        <w:jc w:val="both"/>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5"/>
        <w:ind w:firstLine="480"/>
        <w:jc w:val="left"/>
      </w:pPr>
      <w:r>
        <w:rPr>
          <w:rFonts w:ascii="仿宋_GB2312" w:hAnsi="仿宋_GB2312" w:cs="仿宋_GB2312" w:eastAsia="仿宋_GB2312"/>
        </w:rPr>
        <w:t>2.4.6.响应文件的编制、签章和加密</w:t>
      </w:r>
    </w:p>
    <w:p>
      <w:pPr>
        <w:pStyle w:val="null5"/>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5"/>
        <w:ind w:firstLine="480"/>
        <w:jc w:val="left"/>
      </w:pPr>
      <w:r>
        <w:rPr>
          <w:rFonts w:ascii="仿宋_GB2312" w:hAnsi="仿宋_GB2312" w:cs="仿宋_GB2312" w:eastAsia="仿宋_GB2312"/>
        </w:rPr>
        <w:t>二、供应商使用投标（响应）客户端编制响应文件，完成响应文件编制、加盖电子印章和加密。</w:t>
      </w:r>
    </w:p>
    <w:p>
      <w:pPr>
        <w:pStyle w:val="null5"/>
        <w:ind w:firstLine="480"/>
        <w:jc w:val="left"/>
      </w:pPr>
      <w:r>
        <w:rPr>
          <w:rFonts w:ascii="仿宋_GB2312" w:hAnsi="仿宋_GB2312" w:cs="仿宋_GB2312" w:eastAsia="仿宋_GB2312"/>
        </w:rPr>
        <w:t>2.4.7.响应文件的提交</w:t>
      </w:r>
    </w:p>
    <w:p>
      <w:pPr>
        <w:pStyle w:val="null5"/>
        <w:ind w:firstLine="480"/>
        <w:jc w:val="both"/>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5"/>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5"/>
        <w:ind w:firstLine="480"/>
        <w:jc w:val="both"/>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5"/>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5"/>
        <w:ind w:firstLine="480"/>
        <w:jc w:val="left"/>
      </w:pPr>
      <w:r>
        <w:rPr>
          <w:rFonts w:ascii="仿宋_GB2312" w:hAnsi="仿宋_GB2312" w:cs="仿宋_GB2312" w:eastAsia="仿宋_GB2312"/>
        </w:rPr>
        <w:t>2.4.8.响应文件的补充、修改、撤回</w:t>
      </w:r>
    </w:p>
    <w:p>
      <w:pPr>
        <w:pStyle w:val="null5"/>
        <w:jc w:val="both"/>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5"/>
        <w:ind w:firstLine="480"/>
        <w:jc w:val="left"/>
      </w:pPr>
      <w:r>
        <w:rPr>
          <w:rFonts w:ascii="仿宋_GB2312" w:hAnsi="仿宋_GB2312" w:cs="仿宋_GB2312" w:eastAsia="仿宋_GB2312"/>
        </w:rPr>
        <w:t>供应商响应文件撤回后，视为未提交过响应文件。</w:t>
      </w:r>
    </w:p>
    <w:p>
      <w:pPr>
        <w:pStyle w:val="null5"/>
        <w:ind w:firstLine="480"/>
        <w:jc w:val="left"/>
        <w:outlineLvl w:val="2"/>
      </w:pPr>
      <w:r>
        <w:rPr>
          <w:rFonts w:ascii="仿宋_GB2312" w:hAnsi="仿宋_GB2312" w:cs="仿宋_GB2312" w:eastAsia="仿宋_GB2312"/>
          <w:sz w:val="28"/>
          <w:b/>
        </w:rPr>
        <w:t>2.5.开启、评审和确定成交供应商</w:t>
      </w:r>
    </w:p>
    <w:p>
      <w:pPr>
        <w:pStyle w:val="null5"/>
        <w:ind w:firstLine="480"/>
        <w:jc w:val="left"/>
      </w:pPr>
      <w:r>
        <w:rPr>
          <w:rFonts w:ascii="仿宋_GB2312" w:hAnsi="仿宋_GB2312" w:cs="仿宋_GB2312" w:eastAsia="仿宋_GB2312"/>
        </w:rPr>
        <w:t>2.5.1.开启</w:t>
      </w:r>
    </w:p>
    <w:p>
      <w:pPr>
        <w:pStyle w:val="null5"/>
        <w:ind w:firstLine="480"/>
        <w:jc w:val="left"/>
      </w:pPr>
      <w:r>
        <w:rPr>
          <w:rFonts w:ascii="仿宋_GB2312" w:hAnsi="仿宋_GB2312" w:cs="仿宋_GB2312" w:eastAsia="仿宋_GB2312"/>
        </w:rPr>
        <w:t>2.5.1.1.开启程序</w:t>
      </w:r>
    </w:p>
    <w:p>
      <w:pPr>
        <w:pStyle w:val="null5"/>
        <w:ind w:firstLine="480"/>
        <w:jc w:val="left"/>
      </w:pPr>
      <w:r>
        <w:rPr>
          <w:rFonts w:ascii="仿宋_GB2312" w:hAnsi="仿宋_GB2312" w:cs="仿宋_GB2312" w:eastAsia="仿宋_GB2312"/>
        </w:rPr>
        <w:t>提交响应文件截止时间后，通过交易系统“开标/开启大厅”网上开启解密响应文件。</w:t>
      </w:r>
    </w:p>
    <w:p>
      <w:pPr>
        <w:pStyle w:val="null5"/>
        <w:ind w:firstLine="480"/>
        <w:jc w:val="left"/>
      </w:pPr>
      <w:r>
        <w:rPr>
          <w:rFonts w:ascii="仿宋_GB2312" w:hAnsi="仿宋_GB2312" w:cs="仿宋_GB2312" w:eastAsia="仿宋_GB2312"/>
        </w:rPr>
        <w:t>2.5.1.2.解密响应文件</w:t>
      </w:r>
    </w:p>
    <w:p>
      <w:pPr>
        <w:pStyle w:val="null5"/>
        <w:ind w:firstLine="480"/>
        <w:jc w:val="both"/>
      </w:pPr>
      <w:r>
        <w:rPr>
          <w:rFonts w:ascii="仿宋_GB2312" w:hAnsi="仿宋_GB2312" w:cs="仿宋_GB2312" w:eastAsia="仿宋_GB2312"/>
        </w:rPr>
        <w:t>提交响应文件截止时间后，成功提交响应文件的供应商符合磋商文件规定数量的，代理机构将启动响应文件解密程序，供应商应在规定的解密时间内，使用加密响应文件的数字证书进行响应文件解密。除因平台系统故障导致供应商未按时完成解密外，供应商未在规定的解密时间内完成解密的，按无效响应处理。</w:t>
      </w:r>
    </w:p>
    <w:p>
      <w:pPr>
        <w:pStyle w:val="null5"/>
        <w:ind w:firstLine="480"/>
        <w:jc w:val="left"/>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5"/>
        <w:ind w:firstLine="480"/>
        <w:jc w:val="left"/>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5"/>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5"/>
        <w:ind w:firstLine="480"/>
        <w:jc w:val="left"/>
      </w:pPr>
      <w:r>
        <w:rPr>
          <w:rFonts w:ascii="仿宋_GB2312" w:hAnsi="仿宋_GB2312" w:cs="仿宋_GB2312" w:eastAsia="仿宋_GB2312"/>
        </w:rPr>
        <w:t>2.5.3.评审</w:t>
      </w:r>
    </w:p>
    <w:p>
      <w:pPr>
        <w:pStyle w:val="null5"/>
        <w:ind w:firstLine="480"/>
        <w:jc w:val="left"/>
      </w:pPr>
      <w:r>
        <w:rPr>
          <w:rFonts w:ascii="仿宋_GB2312" w:hAnsi="仿宋_GB2312" w:cs="仿宋_GB2312" w:eastAsia="仿宋_GB2312"/>
        </w:rPr>
        <w:t>详见磋商文件第五章。</w:t>
      </w:r>
    </w:p>
    <w:p>
      <w:pPr>
        <w:pStyle w:val="null5"/>
        <w:ind w:firstLine="480"/>
        <w:jc w:val="left"/>
      </w:pPr>
      <w:r>
        <w:rPr>
          <w:rFonts w:ascii="仿宋_GB2312" w:hAnsi="仿宋_GB2312" w:cs="仿宋_GB2312" w:eastAsia="仿宋_GB2312"/>
        </w:rPr>
        <w:t>2.5.4.成交通知书</w:t>
      </w:r>
    </w:p>
    <w:p>
      <w:pPr>
        <w:pStyle w:val="null5"/>
        <w:ind w:firstLine="480"/>
        <w:jc w:val="left"/>
      </w:pPr>
      <w:r>
        <w:rPr>
          <w:rFonts w:ascii="仿宋_GB2312" w:hAnsi="仿宋_GB2312" w:cs="仿宋_GB2312" w:eastAsia="仿宋_GB2312"/>
        </w:rPr>
        <w:t>一、采购人或者磋商小组确认成交供应商后，代理机构在“中国山东政府采购网”发布成交结果公告、通过交易系统发出成交通知书，成交供应商通过交易系统获取成交通知书。</w:t>
      </w:r>
    </w:p>
    <w:p>
      <w:pPr>
        <w:pStyle w:val="null5"/>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5"/>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left"/>
      </w:pPr>
      <w:r>
        <w:rPr>
          <w:rFonts w:ascii="仿宋_GB2312" w:hAnsi="仿宋_GB2312" w:cs="仿宋_GB2312" w:eastAsia="仿宋_GB2312"/>
        </w:rPr>
        <w:t>2.6.1.签订合同</w:t>
      </w:r>
    </w:p>
    <w:p>
      <w:pPr>
        <w:pStyle w:val="null5"/>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5"/>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5"/>
        <w:ind w:firstLine="480"/>
        <w:jc w:val="left"/>
      </w:pPr>
      <w:r>
        <w:rPr>
          <w:rFonts w:ascii="仿宋_GB2312" w:hAnsi="仿宋_GB2312" w:cs="仿宋_GB2312" w:eastAsia="仿宋_GB2312"/>
        </w:rPr>
        <w:t>三、政府采购合同自采购人和成交供应商在书面合同上签章之日起生效。</w:t>
      </w:r>
    </w:p>
    <w:p>
      <w:pPr>
        <w:pStyle w:val="null5"/>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5"/>
        <w:ind w:firstLine="480"/>
        <w:jc w:val="left"/>
      </w:pPr>
      <w:r>
        <w:rPr>
          <w:rFonts w:ascii="仿宋_GB2312" w:hAnsi="仿宋_GB2312" w:cs="仿宋_GB2312" w:eastAsia="仿宋_GB2312"/>
        </w:rPr>
        <w:t>2.6.2.政府采购合同公告、备案</w:t>
      </w:r>
    </w:p>
    <w:p>
      <w:pPr>
        <w:pStyle w:val="null5"/>
        <w:ind w:firstLine="480"/>
        <w:jc w:val="left"/>
      </w:pPr>
      <w:r>
        <w:rPr>
          <w:rFonts w:ascii="仿宋_GB2312" w:hAnsi="仿宋_GB2312" w:cs="仿宋_GB2312" w:eastAsia="仿宋_GB2312"/>
        </w:rPr>
        <w:t>政府采购合同签订之日起2个工作日内，采购人将政府采购合同在“中国山东政府采购网”予以公告；政府采购合同签订之日起7个工作日内，采购人将政府采购合同报项目同级财政部门备案。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left"/>
      </w:pPr>
      <w:r>
        <w:rPr>
          <w:rFonts w:ascii="仿宋_GB2312" w:hAnsi="仿宋_GB2312" w:cs="仿宋_GB2312" w:eastAsia="仿宋_GB2312"/>
        </w:rPr>
        <w:t>2.6.3.合同分包和转包</w:t>
      </w:r>
    </w:p>
    <w:p>
      <w:pPr>
        <w:pStyle w:val="null5"/>
        <w:ind w:firstLine="480"/>
        <w:jc w:val="left"/>
      </w:pPr>
      <w:r>
        <w:rPr>
          <w:rFonts w:ascii="仿宋_GB2312" w:hAnsi="仿宋_GB2312" w:cs="仿宋_GB2312" w:eastAsia="仿宋_GB2312"/>
        </w:rPr>
        <w:t>2.6.3.1.合同分包</w:t>
      </w:r>
    </w:p>
    <w:p>
      <w:pPr>
        <w:pStyle w:val="null5"/>
        <w:jc w:val="left"/>
      </w:pPr>
      <w:r>
        <w:rPr>
          <w:rFonts w:ascii="仿宋_GB2312" w:hAnsi="仿宋_GB2312" w:cs="仿宋_GB2312" w:eastAsia="仿宋_GB2312"/>
        </w:rPr>
        <w:t>采购包1：不允许分包；</w:t>
      </w:r>
    </w:p>
    <w:p>
      <w:pPr>
        <w:pStyle w:val="null5"/>
        <w:ind w:firstLine="480"/>
        <w:jc w:val="left"/>
      </w:pPr>
      <w:r>
        <w:rPr>
          <w:rFonts w:ascii="仿宋_GB2312" w:hAnsi="仿宋_GB2312" w:cs="仿宋_GB2312" w:eastAsia="仿宋_GB2312"/>
        </w:rPr>
        <w:t>注：</w:t>
      </w:r>
    </w:p>
    <w:p>
      <w:pPr>
        <w:pStyle w:val="null5"/>
        <w:ind w:firstLine="480"/>
        <w:jc w:val="left"/>
      </w:pPr>
      <w:r>
        <w:rPr>
          <w:rFonts w:ascii="仿宋_GB2312" w:hAnsi="仿宋_GB2312" w:cs="仿宋_GB2312" w:eastAsia="仿宋_GB2312"/>
        </w:rPr>
        <w:t>1.供应商根据磋商文件的规定和采购项目的实际情况，拟在成交后将成交项目的非主体、非关键性工作分包的，应当在响应文件中载明分包承担主体，分包承担主体应当具备相应资质条件且不得再次分包。</w:t>
      </w:r>
    </w:p>
    <w:p>
      <w:pPr>
        <w:pStyle w:val="null5"/>
        <w:ind w:firstLine="480"/>
        <w:jc w:val="left"/>
      </w:pPr>
      <w:r>
        <w:rPr>
          <w:rFonts w:ascii="仿宋_GB2312" w:hAnsi="仿宋_GB2312" w:cs="仿宋_GB2312" w:eastAsia="仿宋_GB2312"/>
        </w:rPr>
        <w:t>2.采购合同实行分包履行的，成交供应商就采购项目和分包项目向采购人负责，分包供应商就分包项目承担责任。</w:t>
      </w:r>
    </w:p>
    <w:p>
      <w:pPr>
        <w:pStyle w:val="null5"/>
        <w:ind w:firstLine="480"/>
        <w:jc w:val="left"/>
      </w:pPr>
      <w:r>
        <w:rPr>
          <w:rFonts w:ascii="仿宋_GB2312" w:hAnsi="仿宋_GB2312" w:cs="仿宋_GB2312" w:eastAsia="仿宋_GB2312"/>
        </w:rPr>
        <w:t>3.中小企业依据《政府采购促进中小企业发展管理办法》（财库〔2020〕46号）规定的政策获取政府采购合同后，小型、微型企业不得将合同分包给大型、中型企业，中型企业不得将合同分包给大型企业。</w:t>
      </w:r>
    </w:p>
    <w:p>
      <w:pPr>
        <w:pStyle w:val="null5"/>
        <w:ind w:firstLine="480"/>
        <w:jc w:val="left"/>
      </w:pPr>
      <w:r>
        <w:rPr>
          <w:rFonts w:ascii="仿宋_GB2312" w:hAnsi="仿宋_GB2312" w:cs="仿宋_GB2312" w:eastAsia="仿宋_GB2312"/>
        </w:rPr>
        <w:t>2.6.3.2.合同转包</w:t>
      </w:r>
    </w:p>
    <w:p>
      <w:pPr>
        <w:pStyle w:val="null5"/>
        <w:ind w:firstLine="480"/>
        <w:jc w:val="left"/>
      </w:pPr>
      <w:r>
        <w:rPr>
          <w:rFonts w:ascii="仿宋_GB2312" w:hAnsi="仿宋_GB2312" w:cs="仿宋_GB2312" w:eastAsia="仿宋_GB2312"/>
        </w:rPr>
        <w:t>一、严禁成交供应商将本项目合同转包。</w:t>
      </w:r>
    </w:p>
    <w:p>
      <w:pPr>
        <w:pStyle w:val="null5"/>
        <w:ind w:firstLine="480"/>
        <w:jc w:val="left"/>
      </w:pPr>
      <w:r>
        <w:rPr>
          <w:rFonts w:ascii="仿宋_GB2312" w:hAnsi="仿宋_GB2312" w:cs="仿宋_GB2312" w:eastAsia="仿宋_GB2312"/>
        </w:rPr>
        <w:t>二、成交供应商将合同转包的，将依法追究法律责任。</w:t>
      </w:r>
    </w:p>
    <w:p>
      <w:pPr>
        <w:pStyle w:val="null5"/>
        <w:ind w:firstLine="480"/>
        <w:jc w:val="left"/>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5"/>
        <w:ind w:firstLine="480"/>
        <w:jc w:val="left"/>
      </w:pPr>
      <w:r>
        <w:rPr>
          <w:rFonts w:ascii="仿宋_GB2312" w:hAnsi="仿宋_GB2312" w:cs="仿宋_GB2312" w:eastAsia="仿宋_GB2312"/>
        </w:rPr>
        <w:t>2.6.5.履行合同</w:t>
      </w:r>
    </w:p>
    <w:p>
      <w:pPr>
        <w:pStyle w:val="null5"/>
        <w:ind w:firstLine="480"/>
        <w:jc w:val="left"/>
      </w:pPr>
      <w:r>
        <w:rPr>
          <w:rFonts w:ascii="仿宋_GB2312" w:hAnsi="仿宋_GB2312" w:cs="仿宋_GB2312" w:eastAsia="仿宋_GB2312"/>
        </w:rPr>
        <w:t>一、采购人与成交供应商应当根据合同的约定依法履行合同义务。</w:t>
      </w:r>
    </w:p>
    <w:p>
      <w:pPr>
        <w:pStyle w:val="null5"/>
        <w:ind w:firstLine="480"/>
        <w:jc w:val="left"/>
      </w:pPr>
      <w:r>
        <w:rPr>
          <w:rFonts w:ascii="仿宋_GB2312" w:hAnsi="仿宋_GB2312" w:cs="仿宋_GB2312" w:eastAsia="仿宋_GB2312"/>
        </w:rPr>
        <w:t>二、政府采购合同的履行、违约责任和解决争议的方法等适用《中华人民共和国民法典》。</w:t>
      </w:r>
    </w:p>
    <w:p>
      <w:pPr>
        <w:pStyle w:val="null5"/>
        <w:ind w:firstLine="480"/>
        <w:jc w:val="left"/>
      </w:pPr>
      <w:r>
        <w:rPr>
          <w:rFonts w:ascii="仿宋_GB2312" w:hAnsi="仿宋_GB2312" w:cs="仿宋_GB2312" w:eastAsia="仿宋_GB2312"/>
        </w:rPr>
        <w:t>2.6.6.履约验收方案</w:t>
      </w:r>
    </w:p>
    <w:p>
      <w:pPr>
        <w:pStyle w:val="null5"/>
        <w:ind w:firstLine="480"/>
        <w:jc w:val="left"/>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ind w:firstLine="480"/>
        <w:jc w:val="left"/>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ind w:firstLine="480"/>
        <w:jc w:val="left"/>
      </w:pPr>
      <w:r>
        <w:rPr>
          <w:rFonts w:ascii="仿宋_GB2312" w:hAnsi="仿宋_GB2312" w:cs="仿宋_GB2312" w:eastAsia="仿宋_GB2312"/>
        </w:rPr>
        <w:t>三、履约验收时间：</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验收条件说明：全部货物由供应商完成供货、安装及调试后，向采购人提交项目验收申请后，经采购人确认达到验收条件的，采购人按学校采购项目履约验收管理办法相关规定启动项目验收，并将验收要求通知供应商，达到验收条件后，验收合同总金额的100%。</w:t>
      </w:r>
    </w:p>
    <w:p>
      <w:pPr>
        <w:pStyle w:val="null5"/>
        <w:ind w:firstLine="480"/>
        <w:jc w:val="left"/>
      </w:pPr>
      <w:r>
        <w:rPr>
          <w:rFonts w:ascii="仿宋_GB2312" w:hAnsi="仿宋_GB2312" w:cs="仿宋_GB2312" w:eastAsia="仿宋_GB2312"/>
        </w:rPr>
        <w:t>四、验收组织的其他事项：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采购合同是本项目履约验收的主要依据。履约验收工作严格按照采购文件、响应文件、采购合同及履约验收相关规定执行，确保项目实际履约内容与各类文件要求保持一致。</w:t>
      </w:r>
    </w:p>
    <w:p>
      <w:pPr>
        <w:pStyle w:val="null5"/>
        <w:ind w:firstLine="480"/>
        <w:jc w:val="left"/>
      </w:pPr>
      <w:r>
        <w:rPr>
          <w:rFonts w:ascii="仿宋_GB2312" w:hAnsi="仿宋_GB2312" w:cs="仿宋_GB2312" w:eastAsia="仿宋_GB2312"/>
        </w:rPr>
        <w:t>五、技术履约验收内容：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采购合同是本项目履约验收的主要依据。履约验收工作严格按照采购文件、响应文件、采购合同及履约验收相关规定执行，确保项目实际履约内容与各类文件要求保持一致。</w:t>
      </w:r>
    </w:p>
    <w:p>
      <w:pPr>
        <w:pStyle w:val="null5"/>
        <w:ind w:firstLine="480"/>
        <w:jc w:val="left"/>
      </w:pPr>
      <w:r>
        <w:rPr>
          <w:rFonts w:ascii="仿宋_GB2312" w:hAnsi="仿宋_GB2312" w:cs="仿宋_GB2312" w:eastAsia="仿宋_GB2312"/>
        </w:rPr>
        <w:t>六、商务履约验收内容：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采购合同是本项目履约验收的主要依据。履约验收工作严格按照采购文件、响应文件、采购合同及履约验收相关规定执行，确保项目实际履约内容与各类文件要求保持一致。</w:t>
      </w:r>
    </w:p>
    <w:p>
      <w:pPr>
        <w:pStyle w:val="null5"/>
        <w:ind w:firstLine="480"/>
        <w:jc w:val="left"/>
      </w:pPr>
      <w:r>
        <w:rPr>
          <w:rFonts w:ascii="仿宋_GB2312" w:hAnsi="仿宋_GB2312" w:cs="仿宋_GB2312" w:eastAsia="仿宋_GB2312"/>
        </w:rPr>
        <w:t>七、履约验收标准：</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采购合同是本项目履约验收的主要依据。履约验收工作严格按照采购文件、响应文件、采购合同及履约验收相关规定执行，确保项目实际履约内容与各类文件要求保持一致。</w:t>
      </w:r>
    </w:p>
    <w:p>
      <w:pPr>
        <w:pStyle w:val="null5"/>
        <w:ind w:firstLine="480"/>
        <w:jc w:val="left"/>
      </w:pPr>
      <w:r>
        <w:rPr>
          <w:rFonts w:ascii="仿宋_GB2312" w:hAnsi="仿宋_GB2312" w:cs="仿宋_GB2312" w:eastAsia="仿宋_GB2312"/>
        </w:rPr>
        <w:t>八、履约验收其他事项：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采购合同是本项目履约验收的主要依据。履约验收工作严格按照采购文件、响应文件、采购合同及履约验收相关规定执行，确保项目实际履约内容与各类文件要求保持一致。</w:t>
      </w:r>
    </w:p>
    <w:p>
      <w:pPr>
        <w:pStyle w:val="null5"/>
        <w:ind w:firstLine="480"/>
        <w:jc w:val="left"/>
      </w:pPr>
      <w:r>
        <w:rPr>
          <w:rFonts w:ascii="仿宋_GB2312" w:hAnsi="仿宋_GB2312" w:cs="仿宋_GB2312" w:eastAsia="仿宋_GB2312"/>
        </w:rPr>
        <w:t>2.6.7.资金支付</w:t>
      </w:r>
    </w:p>
    <w:p>
      <w:pPr>
        <w:pStyle w:val="null5"/>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left"/>
      </w:pPr>
      <w:r>
        <w:rPr>
          <w:rFonts w:ascii="仿宋_GB2312" w:hAnsi="仿宋_GB2312" w:cs="仿宋_GB2312" w:eastAsia="仿宋_GB2312"/>
        </w:rPr>
        <w:t>2.7.1.保密要求</w:t>
      </w:r>
    </w:p>
    <w:p>
      <w:pPr>
        <w:pStyle w:val="null5"/>
        <w:ind w:firstLine="480"/>
        <w:jc w:val="left"/>
      </w:pPr>
      <w:r>
        <w:rPr>
          <w:rFonts w:ascii="仿宋_GB2312" w:hAnsi="仿宋_GB2312" w:cs="仿宋_GB2312" w:eastAsia="仿宋_GB2312"/>
        </w:rPr>
        <w:t>采购人、代理机构应当按照《中华人民共和国政府采购法》《政府采购非招标采购方式管理办法》《政府采购竞争性磋商采购方式管理暂行办法》等法律制度的规定组织开展非招标采购活动，并采取必要措施，保证评审在严格保密的情况下进行。</w:t>
      </w:r>
    </w:p>
    <w:p>
      <w:pPr>
        <w:pStyle w:val="null5"/>
        <w:ind w:firstLine="480"/>
        <w:jc w:val="left"/>
      </w:pPr>
      <w:r>
        <w:rPr>
          <w:rFonts w:ascii="仿宋_GB2312" w:hAnsi="仿宋_GB2312" w:cs="仿宋_GB2312" w:eastAsia="仿宋_GB2312"/>
        </w:rPr>
        <w:t>有关人员对评审情况以及在评审过程中获悉的国家秘密、商业秘密负有保密责任。</w:t>
      </w:r>
    </w:p>
    <w:p>
      <w:pPr>
        <w:pStyle w:val="null5"/>
        <w:ind w:firstLine="480"/>
        <w:jc w:val="left"/>
      </w:pPr>
      <w:r>
        <w:rPr>
          <w:rFonts w:ascii="仿宋_GB2312" w:hAnsi="仿宋_GB2312" w:cs="仿宋_GB2312" w:eastAsia="仿宋_GB2312"/>
        </w:rPr>
        <w:t>2.7.2.供应商不得具有的情形</w:t>
      </w:r>
    </w:p>
    <w:p>
      <w:pPr>
        <w:pStyle w:val="null5"/>
        <w:ind w:firstLine="480"/>
        <w:jc w:val="left"/>
      </w:pPr>
      <w:r>
        <w:rPr>
          <w:rFonts w:ascii="仿宋_GB2312" w:hAnsi="仿宋_GB2312" w:cs="仿宋_GB2312" w:eastAsia="仿宋_GB2312"/>
        </w:rPr>
        <w:t>供应商参加磋商不得有下列情形：</w:t>
      </w:r>
    </w:p>
    <w:p>
      <w:pPr>
        <w:pStyle w:val="null5"/>
        <w:ind w:firstLine="480"/>
        <w:jc w:val="left"/>
      </w:pPr>
      <w:r>
        <w:rPr>
          <w:rFonts w:ascii="仿宋_GB2312" w:hAnsi="仿宋_GB2312" w:cs="仿宋_GB2312" w:eastAsia="仿宋_GB2312"/>
        </w:rPr>
        <w:t>一、有下列情形之一的，视为供应商串通响应：</w:t>
      </w:r>
    </w:p>
    <w:p>
      <w:pPr>
        <w:pStyle w:val="null5"/>
        <w:ind w:firstLine="480"/>
        <w:jc w:val="left"/>
      </w:pPr>
      <w:r>
        <w:rPr>
          <w:rFonts w:ascii="仿宋_GB2312" w:hAnsi="仿宋_GB2312" w:cs="仿宋_GB2312" w:eastAsia="仿宋_GB2312"/>
        </w:rPr>
        <w:t>（一）不同供应商的响应文件由同一单位或者个人编制；</w:t>
      </w:r>
    </w:p>
    <w:p>
      <w:pPr>
        <w:pStyle w:val="null5"/>
        <w:ind w:firstLine="480"/>
        <w:jc w:val="left"/>
      </w:pPr>
      <w:r>
        <w:rPr>
          <w:rFonts w:ascii="仿宋_GB2312" w:hAnsi="仿宋_GB2312" w:cs="仿宋_GB2312" w:eastAsia="仿宋_GB2312"/>
        </w:rPr>
        <w:t>（二）不同供应商委托同一单位或者个人办理投标事宜；</w:t>
      </w:r>
    </w:p>
    <w:p>
      <w:pPr>
        <w:pStyle w:val="null5"/>
        <w:ind w:firstLine="480"/>
        <w:jc w:val="left"/>
      </w:pPr>
      <w:r>
        <w:rPr>
          <w:rFonts w:ascii="仿宋_GB2312" w:hAnsi="仿宋_GB2312" w:cs="仿宋_GB2312" w:eastAsia="仿宋_GB2312"/>
        </w:rPr>
        <w:t>（三）不同供应商的响应文件载明的项目管理成员或者联系人员为同一人；</w:t>
      </w:r>
    </w:p>
    <w:p>
      <w:pPr>
        <w:pStyle w:val="null5"/>
        <w:ind w:firstLine="480"/>
        <w:jc w:val="left"/>
      </w:pPr>
      <w:r>
        <w:rPr>
          <w:rFonts w:ascii="仿宋_GB2312" w:hAnsi="仿宋_GB2312" w:cs="仿宋_GB2312" w:eastAsia="仿宋_GB2312"/>
        </w:rPr>
        <w:t>（四）不同供应商的响应文件异常一致或者响应报价呈规律性差异；</w:t>
      </w:r>
    </w:p>
    <w:p>
      <w:pPr>
        <w:pStyle w:val="null5"/>
        <w:ind w:firstLine="480"/>
        <w:jc w:val="left"/>
      </w:pPr>
      <w:r>
        <w:rPr>
          <w:rFonts w:ascii="仿宋_GB2312" w:hAnsi="仿宋_GB2312" w:cs="仿宋_GB2312" w:eastAsia="仿宋_GB2312"/>
        </w:rPr>
        <w:t>（五）不同供应商的响应文件相互混装；</w:t>
      </w:r>
    </w:p>
    <w:p>
      <w:pPr>
        <w:pStyle w:val="null5"/>
        <w:ind w:firstLine="480"/>
        <w:jc w:val="left"/>
      </w:pPr>
      <w:r>
        <w:rPr>
          <w:rFonts w:ascii="仿宋_GB2312" w:hAnsi="仿宋_GB2312" w:cs="仿宋_GB2312" w:eastAsia="仿宋_GB2312"/>
        </w:rPr>
        <w:t>（六）不同供应商的响应保证金从同一单位或者个人的账户转出。</w:t>
      </w:r>
    </w:p>
    <w:p>
      <w:pPr>
        <w:pStyle w:val="null5"/>
        <w:ind w:firstLine="480"/>
        <w:jc w:val="both"/>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5"/>
        <w:ind w:firstLine="480"/>
        <w:jc w:val="left"/>
      </w:pPr>
      <w:r>
        <w:rPr>
          <w:rFonts w:ascii="仿宋_GB2312" w:hAnsi="仿宋_GB2312" w:cs="仿宋_GB2312" w:eastAsia="仿宋_GB2312"/>
        </w:rPr>
        <w:t>（二）供应商按照采购人或者代理机构的授意撤换、修改响应文件；</w:t>
      </w:r>
    </w:p>
    <w:p>
      <w:pPr>
        <w:pStyle w:val="null5"/>
        <w:ind w:firstLine="480"/>
        <w:jc w:val="left"/>
      </w:pPr>
      <w:r>
        <w:rPr>
          <w:rFonts w:ascii="仿宋_GB2312" w:hAnsi="仿宋_GB2312" w:cs="仿宋_GB2312" w:eastAsia="仿宋_GB2312"/>
        </w:rPr>
        <w:t>（三）供应商之间协商报价、技术方案等响应文件的实质性内容；</w:t>
      </w:r>
    </w:p>
    <w:p>
      <w:pPr>
        <w:pStyle w:val="null5"/>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（五）供应商之间事先约定由某一特定供应商成交；</w:t>
      </w:r>
    </w:p>
    <w:p>
      <w:pPr>
        <w:pStyle w:val="null5"/>
        <w:ind w:firstLine="480"/>
        <w:jc w:val="left"/>
      </w:pPr>
      <w:r>
        <w:rPr>
          <w:rFonts w:ascii="仿宋_GB2312" w:hAnsi="仿宋_GB2312" w:cs="仿宋_GB2312" w:eastAsia="仿宋_GB2312"/>
        </w:rPr>
        <w:t>（六）供应商之间商定部分供应商放弃参加政府采购活动或者放弃成交；</w:t>
      </w:r>
    </w:p>
    <w:p>
      <w:pPr>
        <w:pStyle w:val="null5"/>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三、提供虚假材料谋取成交；</w:t>
      </w:r>
    </w:p>
    <w:p>
      <w:pPr>
        <w:pStyle w:val="null5"/>
        <w:ind w:firstLine="480"/>
        <w:jc w:val="left"/>
      </w:pPr>
      <w:r>
        <w:rPr>
          <w:rFonts w:ascii="仿宋_GB2312" w:hAnsi="仿宋_GB2312" w:cs="仿宋_GB2312" w:eastAsia="仿宋_GB2312"/>
        </w:rPr>
        <w:t>四、采取不正当手段诋毁、排挤其他供应商；</w:t>
      </w:r>
    </w:p>
    <w:p>
      <w:pPr>
        <w:pStyle w:val="null5"/>
        <w:ind w:firstLine="480"/>
        <w:jc w:val="left"/>
      </w:pPr>
      <w:r>
        <w:rPr>
          <w:rFonts w:ascii="仿宋_GB2312" w:hAnsi="仿宋_GB2312" w:cs="仿宋_GB2312" w:eastAsia="仿宋_GB2312"/>
        </w:rPr>
        <w:t>五、与采购人或者代理机构、其他供应商恶意串通；</w:t>
      </w:r>
    </w:p>
    <w:p>
      <w:pPr>
        <w:pStyle w:val="null5"/>
        <w:ind w:firstLine="480"/>
        <w:jc w:val="left"/>
      </w:pPr>
      <w:r>
        <w:rPr>
          <w:rFonts w:ascii="仿宋_GB2312" w:hAnsi="仿宋_GB2312" w:cs="仿宋_GB2312" w:eastAsia="仿宋_GB2312"/>
        </w:rPr>
        <w:t>六、向采购人或者代理机构、磋商小组成员行贿或者提供其他不正当利益；</w:t>
      </w:r>
    </w:p>
    <w:p>
      <w:pPr>
        <w:pStyle w:val="null5"/>
        <w:ind w:firstLine="480"/>
        <w:jc w:val="left"/>
      </w:pPr>
      <w:r>
        <w:rPr>
          <w:rFonts w:ascii="仿宋_GB2312" w:hAnsi="仿宋_GB2312" w:cs="仿宋_GB2312" w:eastAsia="仿宋_GB2312"/>
        </w:rPr>
        <w:t>七、成交后无正当理由拒不与采购人签订政府采购合同；</w:t>
      </w:r>
    </w:p>
    <w:p>
      <w:pPr>
        <w:pStyle w:val="null5"/>
        <w:ind w:firstLine="480"/>
        <w:jc w:val="left"/>
      </w:pPr>
      <w:r>
        <w:rPr>
          <w:rFonts w:ascii="仿宋_GB2312" w:hAnsi="仿宋_GB2312" w:cs="仿宋_GB2312" w:eastAsia="仿宋_GB2312"/>
        </w:rPr>
        <w:t>八、未按照磋商文件确定的事项签订政府采购合同；</w:t>
      </w:r>
    </w:p>
    <w:p>
      <w:pPr>
        <w:pStyle w:val="null5"/>
        <w:ind w:firstLine="480"/>
        <w:jc w:val="left"/>
      </w:pPr>
      <w:r>
        <w:rPr>
          <w:rFonts w:ascii="仿宋_GB2312" w:hAnsi="仿宋_GB2312" w:cs="仿宋_GB2312" w:eastAsia="仿宋_GB2312"/>
        </w:rPr>
        <w:t>九、将政府采购合同转包或者违规分包；</w:t>
      </w:r>
    </w:p>
    <w:p>
      <w:pPr>
        <w:pStyle w:val="null5"/>
        <w:ind w:firstLine="480"/>
        <w:jc w:val="left"/>
      </w:pPr>
      <w:r>
        <w:rPr>
          <w:rFonts w:ascii="仿宋_GB2312" w:hAnsi="仿宋_GB2312" w:cs="仿宋_GB2312" w:eastAsia="仿宋_GB2312"/>
        </w:rPr>
        <w:t>十、提供假冒伪劣产品；</w:t>
      </w:r>
    </w:p>
    <w:p>
      <w:pPr>
        <w:pStyle w:val="null5"/>
        <w:ind w:firstLine="480"/>
        <w:jc w:val="left"/>
      </w:pPr>
      <w:r>
        <w:rPr>
          <w:rFonts w:ascii="仿宋_GB2312" w:hAnsi="仿宋_GB2312" w:cs="仿宋_GB2312" w:eastAsia="仿宋_GB2312"/>
        </w:rPr>
        <w:t>十一、擅自变更、中止或者终止政府采购合同；</w:t>
      </w:r>
    </w:p>
    <w:p>
      <w:pPr>
        <w:pStyle w:val="null5"/>
        <w:ind w:firstLine="480"/>
        <w:jc w:val="left"/>
      </w:pPr>
      <w:r>
        <w:rPr>
          <w:rFonts w:ascii="仿宋_GB2312" w:hAnsi="仿宋_GB2312" w:cs="仿宋_GB2312" w:eastAsia="仿宋_GB2312"/>
        </w:rPr>
        <w:t>十二、拒绝有关部门的监督检查或者向监督检查部门提供虚假情况；</w:t>
      </w:r>
    </w:p>
    <w:p>
      <w:pPr>
        <w:pStyle w:val="null5"/>
        <w:ind w:firstLine="480"/>
        <w:jc w:val="left"/>
      </w:pPr>
      <w:r>
        <w:rPr>
          <w:rFonts w:ascii="仿宋_GB2312" w:hAnsi="仿宋_GB2312" w:cs="仿宋_GB2312" w:eastAsia="仿宋_GB2312"/>
        </w:rPr>
        <w:t>十三、法律法规规定的其他禁止情形。</w:t>
      </w:r>
    </w:p>
    <w:p>
      <w:pPr>
        <w:pStyle w:val="null5"/>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pPr>
      <w:r>
        <w:rPr>
          <w:rFonts w:ascii="仿宋_GB2312" w:hAnsi="仿宋_GB2312" w:cs="仿宋_GB2312" w:eastAsia="仿宋_GB2312"/>
        </w:rPr>
        <w:t>2.7.3.采购人员及相关人员回避要求</w:t>
      </w:r>
    </w:p>
    <w:p>
      <w:pPr>
        <w:pStyle w:val="null5"/>
        <w:ind w:firstLine="480"/>
        <w:jc w:val="left"/>
      </w:pPr>
      <w:r>
        <w:rPr>
          <w:rFonts w:ascii="仿宋_GB2312" w:hAnsi="仿宋_GB2312" w:cs="仿宋_GB2312" w:eastAsia="仿宋_GB2312"/>
        </w:rPr>
        <w:t>政府采购活动中，采购人员及相关人员与供应商有下列利害关系之一的，应当回避：</w:t>
      </w:r>
    </w:p>
    <w:p>
      <w:pPr>
        <w:pStyle w:val="null5"/>
        <w:ind w:firstLine="480"/>
        <w:jc w:val="left"/>
      </w:pPr>
      <w:r>
        <w:rPr>
          <w:rFonts w:ascii="仿宋_GB2312" w:hAnsi="仿宋_GB2312" w:cs="仿宋_GB2312" w:eastAsia="仿宋_GB2312"/>
        </w:rPr>
        <w:t>一、参加采购活动前 3 年内与供应商存在劳动关系；</w:t>
      </w:r>
    </w:p>
    <w:p>
      <w:pPr>
        <w:pStyle w:val="null5"/>
        <w:ind w:firstLine="480"/>
        <w:jc w:val="left"/>
      </w:pPr>
      <w:r>
        <w:rPr>
          <w:rFonts w:ascii="仿宋_GB2312" w:hAnsi="仿宋_GB2312" w:cs="仿宋_GB2312" w:eastAsia="仿宋_GB2312"/>
        </w:rPr>
        <w:t>二、参加采购活动前 3 年内担任供应商的董事、监事；</w:t>
      </w:r>
    </w:p>
    <w:p>
      <w:pPr>
        <w:pStyle w:val="null5"/>
        <w:ind w:firstLine="480"/>
        <w:jc w:val="left"/>
      </w:pPr>
      <w:r>
        <w:rPr>
          <w:rFonts w:ascii="仿宋_GB2312" w:hAnsi="仿宋_GB2312" w:cs="仿宋_GB2312" w:eastAsia="仿宋_GB2312"/>
        </w:rPr>
        <w:t>三、参加采购活动前 3 年内是供应商的控股股东或者实际控制人；</w:t>
      </w:r>
    </w:p>
    <w:p>
      <w:pPr>
        <w:pStyle w:val="null5"/>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五、与供应商有其他可能影响政府采购活动公平、公正进行的关系。</w:t>
      </w:r>
    </w:p>
    <w:p>
      <w:pPr>
        <w:pStyle w:val="null5"/>
        <w:ind w:firstLine="480"/>
        <w:jc w:val="both"/>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left"/>
      </w:pPr>
      <w:r>
        <w:rPr>
          <w:rFonts w:ascii="仿宋_GB2312" w:hAnsi="仿宋_GB2312" w:cs="仿宋_GB2312" w:eastAsia="仿宋_GB2312"/>
        </w:rPr>
        <w:t>二、供应商询问、质疑的答复主体：</w:t>
      </w:r>
    </w:p>
    <w:p>
      <w:pPr>
        <w:pStyle w:val="null5"/>
        <w:ind w:firstLine="480"/>
        <w:jc w:val="left"/>
      </w:pPr>
      <w:r>
        <w:rPr>
          <w:rFonts w:ascii="仿宋_GB2312" w:hAnsi="仿宋_GB2312" w:cs="仿宋_GB2312" w:eastAsia="仿宋_GB2312"/>
        </w:rPr>
        <w:t>根据委托代理协议约定，供应商对磋商文件中采购需求的询问、质疑由</w:t>
      </w:r>
      <w:r>
        <w:rPr>
          <w:rFonts w:ascii="仿宋_GB2312" w:hAnsi="仿宋_GB2312" w:cs="仿宋_GB2312" w:eastAsia="仿宋_GB2312"/>
        </w:rPr>
        <w:t>山东石油化工学院</w:t>
      </w:r>
      <w:r>
        <w:rPr>
          <w:rFonts w:ascii="仿宋_GB2312" w:hAnsi="仿宋_GB2312" w:cs="仿宋_GB2312" w:eastAsia="仿宋_GB2312"/>
        </w:rPr>
        <w:t>负责答复；供应商对除采购需求外的磋商文件的询问、质疑由</w:t>
      </w:r>
      <w:r>
        <w:rPr>
          <w:rFonts w:ascii="仿宋_GB2312" w:hAnsi="仿宋_GB2312" w:cs="仿宋_GB2312" w:eastAsia="仿宋_GB2312"/>
        </w:rPr>
        <w:t>胜利油田同舟招标代理有限公司</w:t>
      </w:r>
      <w:r>
        <w:rPr>
          <w:rFonts w:ascii="仿宋_GB2312" w:hAnsi="仿宋_GB2312" w:cs="仿宋_GB2312" w:eastAsia="仿宋_GB2312"/>
        </w:rPr>
        <w:t>负责答复；供应商对采购过程、采购结果的询问、质疑由</w:t>
      </w:r>
      <w:r>
        <w:rPr>
          <w:rFonts w:ascii="仿宋_GB2312" w:hAnsi="仿宋_GB2312" w:cs="仿宋_GB2312" w:eastAsia="仿宋_GB2312"/>
        </w:rPr>
        <w:t>胜利油田同舟招标代理有限公司</w:t>
      </w:r>
      <w:r>
        <w:rPr>
          <w:rFonts w:ascii="仿宋_GB2312" w:hAnsi="仿宋_GB2312" w:cs="仿宋_GB2312" w:eastAsia="仿宋_GB2312"/>
        </w:rPr>
        <w:t>负责答复。供应商提出的询问或者质疑超出采购人对代理机构委托授权范围的，代理机构应当告知供应商向采购人提出。采购人、代理机构对答复主体存在争议的，由采购人负责答复。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联系人：王强</w:t>
      </w:r>
    </w:p>
    <w:p>
      <w:pPr>
        <w:pStyle w:val="null5"/>
        <w:jc w:val="left"/>
      </w:pPr>
      <w:r>
        <w:rPr>
          <w:rFonts w:ascii="仿宋_GB2312" w:hAnsi="仿宋_GB2312" w:cs="仿宋_GB2312" w:eastAsia="仿宋_GB2312"/>
        </w:rPr>
        <w:t>联系电话：18562951505</w:t>
      </w:r>
    </w:p>
    <w:p>
      <w:pPr>
        <w:pStyle w:val="null5"/>
        <w:jc w:val="left"/>
      </w:pPr>
      <w:r>
        <w:rPr>
          <w:rFonts w:ascii="仿宋_GB2312" w:hAnsi="仿宋_GB2312" w:cs="仿宋_GB2312" w:eastAsia="仿宋_GB2312"/>
        </w:rPr>
        <w:t>地址：东营市辽河路与沂州路交叉路口往东50米路北青年创业街区E座312室</w:t>
      </w:r>
    </w:p>
    <w:p>
      <w:pPr>
        <w:pStyle w:val="null5"/>
        <w:jc w:val="left"/>
      </w:pPr>
      <w:r>
        <w:rPr>
          <w:rFonts w:ascii="仿宋_GB2312" w:hAnsi="仿宋_GB2312" w:cs="仿宋_GB2312" w:eastAsia="仿宋_GB2312"/>
        </w:rPr>
        <w:t>邮编：257091</w:t>
      </w:r>
    </w:p>
    <w:p>
      <w:pPr>
        <w:pStyle w:val="null5"/>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5"/>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 7 个工作日内，以书面形式向采购人、代理机构提出质疑。供应商应在法定质疑期内一次性提出针对同一采购程序环节的质疑。供应商应知其权益受到损害之日，是指：</w:t>
      </w:r>
    </w:p>
    <w:p>
      <w:pPr>
        <w:pStyle w:val="null5"/>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5"/>
        <w:ind w:firstLine="480"/>
        <w:jc w:val="left"/>
      </w:pPr>
      <w:r>
        <w:rPr>
          <w:rFonts w:ascii="仿宋_GB2312" w:hAnsi="仿宋_GB2312" w:cs="仿宋_GB2312" w:eastAsia="仿宋_GB2312"/>
        </w:rPr>
        <w:t>（二）对采购过程提出质疑的，为各采购程序环节结束之日；</w:t>
      </w:r>
    </w:p>
    <w:p>
      <w:pPr>
        <w:pStyle w:val="null5"/>
        <w:ind w:firstLine="480"/>
        <w:jc w:val="left"/>
      </w:pPr>
      <w:r>
        <w:rPr>
          <w:rFonts w:ascii="仿宋_GB2312" w:hAnsi="仿宋_GB2312" w:cs="仿宋_GB2312" w:eastAsia="仿宋_GB2312"/>
        </w:rPr>
        <w:t>（三）对成交结果提出质疑的，为成交结果公告期限届满之日。</w:t>
      </w:r>
    </w:p>
    <w:p>
      <w:pPr>
        <w:pStyle w:val="null5"/>
        <w:ind w:firstLine="480"/>
        <w:jc w:val="left"/>
      </w:pPr>
      <w:r>
        <w:rPr>
          <w:rFonts w:ascii="仿宋_GB2312" w:hAnsi="仿宋_GB2312" w:cs="仿宋_GB2312" w:eastAsia="仿宋_GB2312"/>
        </w:rPr>
        <w:t>五、供应商通过书面形式向采购人或者代理机构提交质疑资料。</w:t>
      </w:r>
    </w:p>
    <w:p>
      <w:pPr>
        <w:pStyle w:val="null5"/>
        <w:ind w:firstLine="480"/>
        <w:jc w:val="left"/>
      </w:pPr>
      <w:r>
        <w:rPr>
          <w:rFonts w:ascii="仿宋_GB2312" w:hAnsi="仿宋_GB2312" w:cs="仿宋_GB2312" w:eastAsia="仿宋_GB2312"/>
        </w:rPr>
        <w:t>六、供应商提出质疑时应当准备的资料：</w:t>
      </w:r>
    </w:p>
    <w:p>
      <w:pPr>
        <w:pStyle w:val="null5"/>
        <w:ind w:firstLine="480"/>
        <w:jc w:val="left"/>
      </w:pPr>
      <w:r>
        <w:rPr>
          <w:rFonts w:ascii="仿宋_GB2312" w:hAnsi="仿宋_GB2312" w:cs="仿宋_GB2312" w:eastAsia="仿宋_GB2312"/>
        </w:rPr>
        <w:t>（一）质疑函正本 1 份；</w:t>
      </w:r>
    </w:p>
    <w:p>
      <w:pPr>
        <w:pStyle w:val="null5"/>
        <w:ind w:firstLine="480"/>
        <w:jc w:val="left"/>
      </w:pPr>
      <w:r>
        <w:rPr>
          <w:rFonts w:ascii="仿宋_GB2312" w:hAnsi="仿宋_GB2312" w:cs="仿宋_GB2312" w:eastAsia="仿宋_GB2312"/>
        </w:rPr>
        <w:t>（二）法定代表人或主要负责人授权委托书 1 份（委托代理人办理质疑事宜的需提供）；</w:t>
      </w:r>
    </w:p>
    <w:p>
      <w:pPr>
        <w:pStyle w:val="null5"/>
        <w:ind w:firstLine="480"/>
        <w:jc w:val="left"/>
      </w:pPr>
      <w:r>
        <w:rPr>
          <w:rFonts w:ascii="仿宋_GB2312" w:hAnsi="仿宋_GB2312" w:cs="仿宋_GB2312" w:eastAsia="仿宋_GB2312"/>
        </w:rPr>
        <w:t>（三）法定代表人或主要负责人身份证复印件 1 份；</w:t>
      </w:r>
    </w:p>
    <w:p>
      <w:pPr>
        <w:pStyle w:val="null5"/>
        <w:ind w:firstLine="480"/>
        <w:jc w:val="left"/>
      </w:pPr>
      <w:r>
        <w:rPr>
          <w:rFonts w:ascii="仿宋_GB2312" w:hAnsi="仿宋_GB2312" w:cs="仿宋_GB2312" w:eastAsia="仿宋_GB2312"/>
        </w:rPr>
        <w:t>（四）委托代理人身份证复印件 1 份（委托代理人办理质疑事宜的需提供）；</w:t>
      </w:r>
    </w:p>
    <w:p>
      <w:pPr>
        <w:pStyle w:val="null5"/>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5"/>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5"/>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 15 个工作日内向同级财政部门提起投诉。</w:t>
      </w:r>
    </w:p>
    <w:p>
      <w:pPr>
        <w:pStyle w:val="null5"/>
        <w:ind w:firstLine="480"/>
        <w:jc w:val="left"/>
      </w:pPr>
      <w:r>
        <w:rPr>
          <w:rFonts w:ascii="仿宋_GB2312" w:hAnsi="仿宋_GB2312" w:cs="仿宋_GB2312" w:eastAsia="仿宋_GB2312"/>
        </w:rPr>
        <w:t>八、法律责任</w:t>
      </w:r>
    </w:p>
    <w:p>
      <w:pPr>
        <w:pStyle w:val="null5"/>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5"/>
        <w:ind w:firstLine="480"/>
        <w:jc w:val="left"/>
      </w:pPr>
      <w:r>
        <w:rPr>
          <w:rFonts w:ascii="仿宋_GB2312" w:hAnsi="仿宋_GB2312" w:cs="仿宋_GB2312" w:eastAsia="仿宋_GB2312"/>
        </w:rPr>
        <w:t>（一）拒收质疑供应商在法定质疑期内发出的质疑函；</w:t>
      </w:r>
    </w:p>
    <w:p>
      <w:pPr>
        <w:pStyle w:val="null5"/>
        <w:ind w:firstLine="480"/>
        <w:jc w:val="left"/>
      </w:pPr>
      <w:r>
        <w:rPr>
          <w:rFonts w:ascii="仿宋_GB2312" w:hAnsi="仿宋_GB2312" w:cs="仿宋_GB2312" w:eastAsia="仿宋_GB2312"/>
        </w:rPr>
        <w:t>（二）对质疑不予答复或者答复与事实明显不符，并不能作出合理说明；</w:t>
      </w:r>
    </w:p>
    <w:p>
      <w:pPr>
        <w:pStyle w:val="null5"/>
        <w:ind w:firstLine="480"/>
        <w:jc w:val="left"/>
      </w:pPr>
      <w:r>
        <w:rPr>
          <w:rFonts w:ascii="仿宋_GB2312" w:hAnsi="仿宋_GB2312" w:cs="仿宋_GB2312" w:eastAsia="仿宋_GB2312"/>
        </w:rPr>
        <w:t>（三）拒绝配合财政部门处理投诉事宜。</w:t>
      </w:r>
    </w:p>
    <w:p>
      <w:pPr>
        <w:pStyle w:val="null5"/>
        <w:ind w:firstLine="480"/>
        <w:jc w:val="both"/>
      </w:pPr>
      <w:r>
        <w:rPr>
          <w:rFonts w:ascii="仿宋_GB2312" w:hAnsi="仿宋_GB2312" w:cs="仿宋_GB2312" w:eastAsia="仿宋_GB2312"/>
        </w:rPr>
        <w:t>供应商在全国范围 12 个月内三次以上投诉查无实据的，由财政部门列入不良行为记录名单。供应商有下列行为之一的，属于虚假、恶意投诉，由财政部门列入不良行为记录名单，禁止其1至3年内参加政府采购活动：</w:t>
      </w:r>
    </w:p>
    <w:p>
      <w:pPr>
        <w:pStyle w:val="null5"/>
        <w:ind w:firstLine="480"/>
        <w:jc w:val="left"/>
      </w:pPr>
      <w:r>
        <w:rPr>
          <w:rFonts w:ascii="仿宋_GB2312" w:hAnsi="仿宋_GB2312" w:cs="仿宋_GB2312" w:eastAsia="仿宋_GB2312"/>
        </w:rPr>
        <w:t>（一）捏造事实；</w:t>
      </w:r>
    </w:p>
    <w:p>
      <w:pPr>
        <w:pStyle w:val="null5"/>
        <w:ind w:firstLine="480"/>
        <w:jc w:val="left"/>
      </w:pPr>
      <w:r>
        <w:rPr>
          <w:rFonts w:ascii="仿宋_GB2312" w:hAnsi="仿宋_GB2312" w:cs="仿宋_GB2312" w:eastAsia="仿宋_GB2312"/>
        </w:rPr>
        <w:t>（二）提供虚假材料；</w:t>
      </w:r>
    </w:p>
    <w:p>
      <w:pPr>
        <w:pStyle w:val="null5"/>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5"/>
        <w:ind w:firstLine="480"/>
        <w:jc w:val="left"/>
        <w:outlineLvl w:val="2"/>
      </w:pPr>
      <w:r>
        <w:rPr>
          <w:rFonts w:ascii="仿宋_GB2312" w:hAnsi="仿宋_GB2312" w:cs="仿宋_GB2312" w:eastAsia="仿宋_GB2312"/>
          <w:sz w:val="28"/>
          <w:b/>
        </w:rPr>
        <w:t>2.9.电子化采购特殊情形处理</w:t>
      </w:r>
    </w:p>
    <w:p>
      <w:pPr>
        <w:pStyle w:val="null5"/>
        <w:ind w:firstLine="480"/>
        <w:jc w:val="both"/>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left"/>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left"/>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5"/>
        <w:ind w:firstLine="480"/>
        <w:jc w:val="left"/>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both"/>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5"/>
        <w:ind w:firstLine="480"/>
        <w:jc w:val="left"/>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left"/>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1,092,500.00</w:t>
      </w:r>
    </w:p>
    <w:p>
      <w:pPr>
        <w:pStyle w:val="null5"/>
        <w:jc w:val="left"/>
      </w:pPr>
      <w:r>
        <w:rPr>
          <w:rFonts w:ascii="仿宋_GB2312" w:hAnsi="仿宋_GB2312" w:cs="仿宋_GB2312" w:eastAsia="仿宋_GB2312"/>
        </w:rPr>
        <w:t>采购包最高限价（元）: 1,092,500.00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差示扫描量热仪、注塑机、毛细管流变仪等设备</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1,092,500.00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left"/>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差示扫描量热仪、注塑机、毛细管流变仪等设备</w:t>
            </w:r>
          </w:p>
        </w:tc>
        <w:tc>
          <w:tcPr>
            <w:tcW w:type="dxa" w:w="554"/>
          </w:tcPr>
          <w:p>
            <w:pPr>
              <w:pStyle w:val="null5"/>
              <w:jc w:val="left"/>
            </w:pPr>
            <w:r>
              <w:rPr>
                <w:rFonts w:ascii="仿宋_GB2312" w:hAnsi="仿宋_GB2312" w:cs="仿宋_GB2312" w:eastAsia="仿宋_GB2312"/>
              </w:rPr>
              <w:t>项</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1,092,500.00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差示扫描量热仪、注塑机、毛细管流变仪等设备</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差示扫描量热仪</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表面体积电阻率测定仪</w:t>
            </w:r>
          </w:p>
        </w:tc>
        <w:tc>
          <w:tcPr>
            <w:tcW w:type="dxa" w:w="2076"/>
          </w:tcPr>
          <w:p>
            <w:pPr>
              <w:pStyle w:val="null5"/>
              <w:jc w:val="left"/>
            </w:pPr>
            <w:r>
              <w:rPr>
                <w:rFonts w:ascii="仿宋_GB2312" w:hAnsi="仿宋_GB2312" w:cs="仿宋_GB2312" w:eastAsia="仿宋_GB2312"/>
              </w:rPr>
              <w:t>表面体积电阻率测定仪</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注塑机</w:t>
            </w:r>
          </w:p>
        </w:tc>
        <w:tc>
          <w:tcPr>
            <w:tcW w:type="dxa" w:w="2076"/>
          </w:tcPr>
          <w:p>
            <w:pPr>
              <w:pStyle w:val="null5"/>
              <w:jc w:val="left"/>
            </w:pPr>
            <w:r>
              <w:rPr>
                <w:rFonts w:ascii="仿宋_GB2312" w:hAnsi="仿宋_GB2312" w:cs="仿宋_GB2312" w:eastAsia="仿宋_GB2312"/>
              </w:rPr>
              <w:t>注塑机</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毛细管流变仪</w:t>
            </w:r>
          </w:p>
        </w:tc>
        <w:tc>
          <w:tcPr>
            <w:tcW w:type="dxa" w:w="2076"/>
          </w:tcPr>
          <w:p>
            <w:pPr>
              <w:pStyle w:val="null5"/>
              <w:jc w:val="left"/>
            </w:pPr>
            <w:r>
              <w:rPr>
                <w:rFonts w:ascii="仿宋_GB2312" w:hAnsi="仿宋_GB2312" w:cs="仿宋_GB2312" w:eastAsia="仿宋_GB2312"/>
              </w:rPr>
              <w:t>毛细管流变仪</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偏光显微镜</w:t>
            </w:r>
          </w:p>
        </w:tc>
        <w:tc>
          <w:tcPr>
            <w:tcW w:type="dxa" w:w="2076"/>
          </w:tcPr>
          <w:p>
            <w:pPr>
              <w:pStyle w:val="null5"/>
              <w:jc w:val="left"/>
            </w:pPr>
            <w:r>
              <w:rPr>
                <w:rFonts w:ascii="仿宋_GB2312" w:hAnsi="仿宋_GB2312" w:cs="仿宋_GB2312" w:eastAsia="仿宋_GB2312"/>
              </w:rPr>
              <w:t>偏光显微镜</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熔融指数测定仪</w:t>
            </w:r>
          </w:p>
        </w:tc>
        <w:tc>
          <w:tcPr>
            <w:tcW w:type="dxa" w:w="2076"/>
          </w:tcPr>
          <w:p>
            <w:pPr>
              <w:pStyle w:val="null5"/>
              <w:jc w:val="left"/>
            </w:pPr>
            <w:r>
              <w:rPr>
                <w:rFonts w:ascii="仿宋_GB2312" w:hAnsi="仿宋_GB2312" w:cs="仿宋_GB2312" w:eastAsia="仿宋_GB2312"/>
              </w:rPr>
              <w:t>熔融指数测定仪</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7</w:t>
            </w:r>
          </w:p>
        </w:tc>
        <w:tc>
          <w:tcPr>
            <w:tcW w:type="dxa" w:w="2076"/>
          </w:tcPr>
          <w:p>
            <w:pPr>
              <w:pStyle w:val="null5"/>
              <w:jc w:val="left"/>
            </w:pPr>
            <w:r>
              <w:rPr>
                <w:rFonts w:ascii="仿宋_GB2312" w:hAnsi="仿宋_GB2312" w:cs="仿宋_GB2312" w:eastAsia="仿宋_GB2312"/>
              </w:rPr>
              <w:t>分析天平</w:t>
            </w:r>
          </w:p>
        </w:tc>
        <w:tc>
          <w:tcPr>
            <w:tcW w:type="dxa" w:w="2076"/>
          </w:tcPr>
          <w:p>
            <w:pPr>
              <w:pStyle w:val="null5"/>
              <w:jc w:val="left"/>
            </w:pPr>
            <w:r>
              <w:rPr>
                <w:rFonts w:ascii="仿宋_GB2312" w:hAnsi="仿宋_GB2312" w:cs="仿宋_GB2312" w:eastAsia="仿宋_GB2312"/>
              </w:rPr>
              <w:t>分析天平</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5"/>
        <w:ind w:firstLine="480"/>
        <w:jc w:val="left"/>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其他仪器仪表</w:t>
            </w:r>
          </w:p>
        </w:tc>
        <w:tc>
          <w:tcPr>
            <w:tcW w:type="dxa" w:w="2492"/>
          </w:tcPr>
          <w:p>
            <w:pPr>
              <w:pStyle w:val="null5"/>
              <w:jc w:val="left"/>
            </w:pPr>
            <w:r>
              <w:rPr>
                <w:rFonts w:ascii="仿宋_GB2312" w:hAnsi="仿宋_GB2312" w:cs="仿宋_GB2312" w:eastAsia="仿宋_GB2312"/>
              </w:rPr>
              <w:t>差示扫描量热仪、注塑机、毛细管流变仪等设备</w:t>
            </w:r>
          </w:p>
        </w:tc>
        <w:tc>
          <w:tcPr>
            <w:tcW w:type="dxa" w:w="2492"/>
          </w:tcPr>
          <w:p>
            <w:pPr>
              <w:pStyle w:val="null5"/>
              <w:jc w:val="left"/>
            </w:pPr>
            <w:r>
              <w:rPr>
                <w:rFonts w:ascii="仿宋_GB2312" w:hAnsi="仿宋_GB2312" w:cs="仿宋_GB2312" w:eastAsia="仿宋_GB2312"/>
              </w:rPr>
              <w:t>差示扫描量热仪</w:t>
            </w:r>
          </w:p>
        </w:tc>
      </w:tr>
    </w:tbl>
    <w:p>
      <w:pPr>
        <w:pStyle w:val="null5"/>
        <w:ind w:firstLine="480"/>
        <w:jc w:val="left"/>
      </w:pPr>
      <w:r>
        <w:rPr>
          <w:rFonts w:ascii="仿宋_GB2312" w:hAnsi="仿宋_GB2312" w:cs="仿宋_GB2312" w:eastAsia="仿宋_GB2312"/>
        </w:rPr>
        <w:t>注：涉及核心产品的，具体评审规定见第五章。</w:t>
      </w:r>
    </w:p>
    <w:p>
      <w:pPr>
        <w:pStyle w:val="null5"/>
        <w:ind w:firstLine="480"/>
        <w:jc w:val="left"/>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5"/>
        <w:ind w:firstLine="480"/>
        <w:jc w:val="left"/>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5"/>
        <w:ind w:firstLine="480"/>
        <w:jc w:val="left"/>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5"/>
        <w:ind w:firstLine="480"/>
        <w:jc w:val="left"/>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标的名称：差示扫描量热仪、注塑机、毛细管流变仪等设备</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数量：2台</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用途：测量与热量有关的物理、化学变化，如玻璃化转变温度、熔点。熔融温度、结晶与结晶热、相转变反应热，产品的热稳定性、固化/交联、氧化诱导期等。</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温度范围：应包含-130℃～680℃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温度分辨率：≤0.1℃</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温度波动：≥-0.1℃且≤0.1℃</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温度准确度：≥-0.1℃且≤0.1℃</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升温速率：应包含在0.1℃/min-100℃/min之间可自定义设置</w:t>
            </w:r>
          </w:p>
        </w:tc>
      </w:tr>
      <w:tr>
        <w:tc>
          <w:tcPr>
            <w:tcW w:type="dxa" w:w="2076"/>
          </w:tcPr>
          <w:p>
            <w:pPr>
              <w:pStyle w:val="null5"/>
              <w:jc w:val="left"/>
            </w:pPr>
            <w:r>
              <w:rPr>
                <w:rFonts w:ascii="仿宋_GB2312" w:hAnsi="仿宋_GB2312" w:cs="仿宋_GB2312" w:eastAsia="仿宋_GB2312"/>
              </w:rPr>
              <w:t>8</w:t>
            </w:r>
          </w:p>
        </w:tc>
        <w:tc>
          <w:tcPr>
            <w:tcW w:type="dxa" w:w="2076"/>
          </w:tcP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控温方式：升温、恒温（程序自动控制）</w:t>
            </w:r>
          </w:p>
        </w:tc>
      </w:tr>
      <w:tr>
        <w:tc>
          <w:tcPr>
            <w:tcW w:type="dxa" w:w="2076"/>
          </w:tcPr>
          <w:p>
            <w:pPr>
              <w:pStyle w:val="null5"/>
              <w:jc w:val="left"/>
            </w:pPr>
            <w:r>
              <w:rPr>
                <w:rFonts w:ascii="仿宋_GB2312" w:hAnsi="仿宋_GB2312" w:cs="仿宋_GB2312" w:eastAsia="仿宋_GB2312"/>
              </w:rPr>
              <w:t>9</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两种炉体升温控温模式：①根据样品热电偶控制升温②根据炉温热电偶控制升温，并且两种工作模式可通过软件设置任意切换。</w:t>
            </w:r>
          </w:p>
        </w:tc>
      </w:tr>
      <w:tr>
        <w:tc>
          <w:tcPr>
            <w:tcW w:type="dxa" w:w="2076"/>
          </w:tcPr>
          <w:p>
            <w:pPr>
              <w:pStyle w:val="null5"/>
              <w:jc w:val="left"/>
            </w:pPr>
            <w:r>
              <w:rPr>
                <w:rFonts w:ascii="仿宋_GB2312" w:hAnsi="仿宋_GB2312" w:cs="仿宋_GB2312" w:eastAsia="仿宋_GB2312"/>
              </w:rPr>
              <w:t>10</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可扩展40位全自动进样模块，实现样品的自动连续进样，减少人工操作干预。</w:t>
            </w:r>
          </w:p>
        </w:tc>
      </w:tr>
      <w:tr>
        <w:tc>
          <w:tcPr>
            <w:tcW w:type="dxa" w:w="2076"/>
          </w:tcPr>
          <w:p>
            <w:pPr>
              <w:pStyle w:val="null5"/>
              <w:jc w:val="left"/>
            </w:pPr>
            <w:r>
              <w:rPr>
                <w:rFonts w:ascii="仿宋_GB2312" w:hAnsi="仿宋_GB2312" w:cs="仿宋_GB2312" w:eastAsia="仿宋_GB2312"/>
              </w:rPr>
              <w:t>11</w:t>
            </w:r>
          </w:p>
        </w:tc>
        <w:tc>
          <w:tcPr>
            <w:tcW w:type="dxa" w:w="2076"/>
          </w:tcP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气氛控制系统：采用质量流量控制器</w:t>
            </w:r>
          </w:p>
        </w:tc>
      </w:tr>
      <w:tr>
        <w:tc>
          <w:tcPr>
            <w:tcW w:type="dxa" w:w="2076"/>
          </w:tcPr>
          <w:p>
            <w:pPr>
              <w:pStyle w:val="null5"/>
              <w:jc w:val="left"/>
            </w:pPr>
            <w:r>
              <w:rPr>
                <w:rFonts w:ascii="仿宋_GB2312" w:hAnsi="仿宋_GB2312" w:cs="仿宋_GB2312" w:eastAsia="仿宋_GB2312"/>
              </w:rPr>
              <w:t>12</w:t>
            </w:r>
          </w:p>
        </w:tc>
        <w:tc>
          <w:tcPr>
            <w:tcW w:type="dxa" w:w="2076"/>
          </w:tcP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气体流速：应在包含10ml/min-200ml/min的范围内，实验过程中可精确控制流量，可自动切换气体</w:t>
            </w:r>
          </w:p>
        </w:tc>
      </w:tr>
      <w:tr>
        <w:tc>
          <w:tcPr>
            <w:tcW w:type="dxa" w:w="2076"/>
          </w:tcPr>
          <w:p>
            <w:pPr>
              <w:pStyle w:val="null5"/>
              <w:jc w:val="left"/>
            </w:pPr>
            <w:r>
              <w:rPr>
                <w:rFonts w:ascii="仿宋_GB2312" w:hAnsi="仿宋_GB2312" w:cs="仿宋_GB2312" w:eastAsia="仿宋_GB2312"/>
              </w:rPr>
              <w:t>13</w:t>
            </w:r>
          </w:p>
        </w:tc>
        <w:tc>
          <w:tcPr>
            <w:tcW w:type="dxa" w:w="2076"/>
          </w:tcP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坩埚：标配铝坩埚</w:t>
            </w:r>
          </w:p>
        </w:tc>
      </w:tr>
      <w:tr>
        <w:tc>
          <w:tcPr>
            <w:tcW w:type="dxa" w:w="2076"/>
          </w:tcPr>
          <w:p>
            <w:pPr>
              <w:pStyle w:val="null5"/>
              <w:jc w:val="left"/>
            </w:pPr>
            <w:r>
              <w:rPr>
                <w:rFonts w:ascii="仿宋_GB2312" w:hAnsi="仿宋_GB2312" w:cs="仿宋_GB2312" w:eastAsia="仿宋_GB2312"/>
              </w:rPr>
              <w:t>14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提供与仪器配套的3D虚拟仿真软件</w:t>
            </w:r>
          </w:p>
        </w:tc>
      </w:tr>
      <w:tr>
        <w:tc>
          <w:tcPr>
            <w:tcW w:type="dxa" w:w="2076"/>
          </w:tcPr>
          <w:p>
            <w:pPr>
              <w:pStyle w:val="null5"/>
              <w:jc w:val="left"/>
            </w:pPr>
            <w:r>
              <w:rPr>
                <w:rFonts w:ascii="仿宋_GB2312" w:hAnsi="仿宋_GB2312" w:cs="仿宋_GB2312" w:eastAsia="仿宋_GB2312"/>
              </w:rPr>
              <w:t>15</w:t>
            </w:r>
          </w:p>
        </w:tc>
        <w:tc>
          <w:tcPr>
            <w:tcW w:type="dxa" w:w="2076"/>
          </w:tcP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横坐标轴可选择温度或时间作标尺</w:t>
            </w:r>
          </w:p>
        </w:tc>
      </w:tr>
      <w:tr>
        <w:tc>
          <w:tcPr>
            <w:tcW w:type="dxa" w:w="2076"/>
          </w:tcPr>
          <w:p>
            <w:pPr>
              <w:pStyle w:val="null5"/>
              <w:jc w:val="left"/>
            </w:pPr>
            <w:r>
              <w:rPr>
                <w:rFonts w:ascii="仿宋_GB2312" w:hAnsi="仿宋_GB2312" w:cs="仿宋_GB2312" w:eastAsia="仿宋_GB2312"/>
              </w:rPr>
              <w:t>16</w:t>
            </w:r>
          </w:p>
        </w:tc>
        <w:tc>
          <w:tcPr>
            <w:tcW w:type="dxa" w:w="2076"/>
          </w:tcP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具有步冷曲线测试功能</w:t>
            </w:r>
          </w:p>
        </w:tc>
      </w:tr>
      <w:tr>
        <w:tc>
          <w:tcPr>
            <w:tcW w:type="dxa" w:w="2076"/>
          </w:tcPr>
          <w:p>
            <w:pPr>
              <w:pStyle w:val="null5"/>
              <w:jc w:val="left"/>
            </w:pPr>
            <w:r>
              <w:rPr>
                <w:rFonts w:ascii="仿宋_GB2312" w:hAnsi="仿宋_GB2312" w:cs="仿宋_GB2312" w:eastAsia="仿宋_GB2312"/>
              </w:rPr>
              <w:t>17</w:t>
            </w:r>
          </w:p>
        </w:tc>
        <w:tc>
          <w:tcPr>
            <w:tcW w:type="dxa" w:w="2076"/>
          </w:tcP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具有结晶动力学测试功能</w:t>
            </w:r>
          </w:p>
        </w:tc>
      </w:tr>
      <w:tr>
        <w:tc>
          <w:tcPr>
            <w:tcW w:type="dxa" w:w="2076"/>
          </w:tcPr>
          <w:p>
            <w:pPr>
              <w:pStyle w:val="null5"/>
              <w:jc w:val="left"/>
            </w:pPr>
            <w:r>
              <w:rPr>
                <w:rFonts w:ascii="仿宋_GB2312" w:hAnsi="仿宋_GB2312" w:cs="仿宋_GB2312" w:eastAsia="仿宋_GB2312"/>
              </w:rPr>
              <w:t>18</w:t>
            </w:r>
          </w:p>
        </w:tc>
        <w:tc>
          <w:tcPr>
            <w:tcW w:type="dxa" w:w="2076"/>
          </w:tcP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玻璃化转变温度、比热的测量</w:t>
            </w:r>
          </w:p>
        </w:tc>
      </w:tr>
      <w:tr>
        <w:tc>
          <w:tcPr>
            <w:tcW w:type="dxa" w:w="2076"/>
          </w:tcPr>
          <w:p>
            <w:pPr>
              <w:pStyle w:val="null5"/>
              <w:jc w:val="left"/>
            </w:pPr>
            <w:r>
              <w:rPr>
                <w:rFonts w:ascii="仿宋_GB2312" w:hAnsi="仿宋_GB2312" w:cs="仿宋_GB2312" w:eastAsia="仿宋_GB2312"/>
              </w:rPr>
              <w:t>19</w:t>
            </w:r>
          </w:p>
        </w:tc>
        <w:tc>
          <w:tcPr>
            <w:tcW w:type="dxa" w:w="2076"/>
          </w:tcP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DSC测量范围：应包含0-500mW范围</w:t>
            </w:r>
          </w:p>
        </w:tc>
      </w:tr>
      <w:tr>
        <w:tc>
          <w:tcPr>
            <w:tcW w:type="dxa" w:w="2076"/>
          </w:tcPr>
          <w:p>
            <w:pPr>
              <w:pStyle w:val="null5"/>
              <w:jc w:val="left"/>
            </w:pPr>
            <w:r>
              <w:rPr>
                <w:rFonts w:ascii="仿宋_GB2312" w:hAnsi="仿宋_GB2312" w:cs="仿宋_GB2312" w:eastAsia="仿宋_GB2312"/>
              </w:rPr>
              <w:t>20</w:t>
            </w:r>
          </w:p>
        </w:tc>
        <w:tc>
          <w:tcPr>
            <w:tcW w:type="dxa" w:w="2076"/>
          </w:tcP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DSC解析度：≤0.01 µW</w:t>
            </w:r>
          </w:p>
        </w:tc>
      </w:tr>
      <w:tr>
        <w:tc>
          <w:tcPr>
            <w:tcW w:type="dxa" w:w="2076"/>
          </w:tcPr>
          <w:p>
            <w:pPr>
              <w:pStyle w:val="null5"/>
              <w:jc w:val="left"/>
            </w:pPr>
            <w:r>
              <w:rPr>
                <w:rFonts w:ascii="仿宋_GB2312" w:hAnsi="仿宋_GB2312" w:cs="仿宋_GB2312" w:eastAsia="仿宋_GB2312"/>
              </w:rPr>
              <w:t>21</w:t>
            </w:r>
          </w:p>
        </w:tc>
        <w:tc>
          <w:tcPr>
            <w:tcW w:type="dxa" w:w="2076"/>
          </w:tcP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DSC灵敏度：≤0.1 µW</w:t>
            </w:r>
          </w:p>
        </w:tc>
      </w:tr>
      <w:tr>
        <w:tc>
          <w:tcPr>
            <w:tcW w:type="dxa" w:w="2076"/>
          </w:tcPr>
          <w:p>
            <w:pPr>
              <w:pStyle w:val="null5"/>
              <w:jc w:val="left"/>
            </w:pPr>
            <w:r>
              <w:rPr>
                <w:rFonts w:ascii="仿宋_GB2312" w:hAnsi="仿宋_GB2312" w:cs="仿宋_GB2312" w:eastAsia="仿宋_GB2312"/>
              </w:rPr>
              <w:t>22</w:t>
            </w:r>
          </w:p>
        </w:tc>
        <w:tc>
          <w:tcPr>
            <w:tcW w:type="dxa" w:w="2076"/>
          </w:tcP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功率准确度：≥-0.1µW且≤0.1µW</w:t>
            </w:r>
          </w:p>
        </w:tc>
      </w:tr>
      <w:tr>
        <w:tc>
          <w:tcPr>
            <w:tcW w:type="dxa" w:w="2076"/>
          </w:tcPr>
          <w:p>
            <w:pPr>
              <w:pStyle w:val="null5"/>
              <w:jc w:val="left"/>
            </w:pPr>
            <w:r>
              <w:rPr>
                <w:rFonts w:ascii="仿宋_GB2312" w:hAnsi="仿宋_GB2312" w:cs="仿宋_GB2312" w:eastAsia="仿宋_GB2312"/>
              </w:rPr>
              <w:t>23</w:t>
            </w:r>
          </w:p>
        </w:tc>
        <w:tc>
          <w:tcPr>
            <w:tcW w:type="dxa" w:w="2076"/>
          </w:tcP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功率噪声：≤0.1µW</w:t>
            </w:r>
          </w:p>
        </w:tc>
      </w:tr>
      <w:tr>
        <w:tc>
          <w:tcPr>
            <w:tcW w:type="dxa" w:w="2076"/>
          </w:tcPr>
          <w:p>
            <w:pPr>
              <w:pStyle w:val="null5"/>
              <w:jc w:val="left"/>
            </w:pPr>
            <w:r>
              <w:rPr>
                <w:rFonts w:ascii="仿宋_GB2312" w:hAnsi="仿宋_GB2312" w:cs="仿宋_GB2312" w:eastAsia="仿宋_GB2312"/>
              </w:rPr>
              <w:t>24</w:t>
            </w:r>
          </w:p>
        </w:tc>
        <w:tc>
          <w:tcPr>
            <w:tcW w:type="dxa" w:w="2076"/>
          </w:tcP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可自由选择的基线修正，配有标准物质（铟、锡、铅、锌、铝）用户可自行校正温度及热焓</w:t>
            </w:r>
          </w:p>
        </w:tc>
      </w:tr>
      <w:tr>
        <w:tc>
          <w:tcPr>
            <w:tcW w:type="dxa" w:w="2076"/>
          </w:tcPr>
          <w:p>
            <w:pPr>
              <w:pStyle w:val="null5"/>
              <w:jc w:val="left"/>
            </w:pPr>
            <w:r>
              <w:rPr>
                <w:rFonts w:ascii="仿宋_GB2312" w:hAnsi="仿宋_GB2312" w:cs="仿宋_GB2312" w:eastAsia="仿宋_GB2312"/>
              </w:rPr>
              <w:t>25</w:t>
            </w:r>
          </w:p>
        </w:tc>
        <w:tc>
          <w:tcPr>
            <w:tcW w:type="dxa" w:w="2076"/>
          </w:tcP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所有数据可存储、打印，并可以通用格式输出</w:t>
            </w:r>
          </w:p>
        </w:tc>
      </w:tr>
      <w:tr>
        <w:tc>
          <w:tcPr>
            <w:tcW w:type="dxa" w:w="2076"/>
          </w:tcPr>
          <w:p>
            <w:pPr>
              <w:pStyle w:val="null5"/>
              <w:jc w:val="left"/>
            </w:pPr>
            <w:r>
              <w:rPr>
                <w:rFonts w:ascii="仿宋_GB2312" w:hAnsi="仿宋_GB2312" w:cs="仿宋_GB2312" w:eastAsia="仿宋_GB2312"/>
              </w:rPr>
              <w:t>26</w:t>
            </w:r>
          </w:p>
        </w:tc>
        <w:tc>
          <w:tcPr>
            <w:tcW w:type="dxa" w:w="2076"/>
          </w:tcP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可根据需求预留恒温控制器接口、恒温气相色谱接口、质谱连接头；可进行焦油及各种反应气体的二次检测。控温范围：应包含25～450℃，控温精度：≥-0.1℃且≤0.1℃</w:t>
            </w:r>
          </w:p>
        </w:tc>
      </w:tr>
      <w:tr>
        <w:tc>
          <w:tcPr>
            <w:tcW w:type="dxa" w:w="2076"/>
          </w:tcPr>
          <w:p>
            <w:pPr>
              <w:pStyle w:val="null5"/>
              <w:jc w:val="left"/>
            </w:pPr>
            <w:r>
              <w:rPr>
                <w:rFonts w:ascii="仿宋_GB2312" w:hAnsi="仿宋_GB2312" w:cs="仿宋_GB2312" w:eastAsia="仿宋_GB2312"/>
              </w:rPr>
              <w:t>27</w:t>
            </w:r>
          </w:p>
        </w:tc>
        <w:tc>
          <w:tcPr>
            <w:tcW w:type="dxa" w:w="2076"/>
          </w:tcP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仪器后期可扩展功能 可预留光固化控制系统接口，光固化控制系统可实现对单体、多体溶液在一定强度光线照射下快速完成固化的曲线测量。光源使用温度范围应包含-100℃-200℃，光源波长范围应包含315-500nm，可以方便地通过控制软件进行设置触发</w:t>
            </w:r>
          </w:p>
        </w:tc>
      </w:tr>
      <w:tr>
        <w:tc>
          <w:tcPr>
            <w:tcW w:type="dxa" w:w="2076"/>
          </w:tcPr>
          <w:p>
            <w:pPr>
              <w:pStyle w:val="null5"/>
              <w:jc w:val="left"/>
            </w:pPr>
            <w:r>
              <w:rPr>
                <w:rFonts w:ascii="仿宋_GB2312" w:hAnsi="仿宋_GB2312" w:cs="仿宋_GB2312" w:eastAsia="仿宋_GB2312"/>
              </w:rPr>
              <w:t>28</w:t>
            </w:r>
          </w:p>
        </w:tc>
        <w:tc>
          <w:tcPr>
            <w:tcW w:type="dxa" w:w="2076"/>
          </w:tcPr>
          <w:p/>
        </w:tc>
        <w:tc>
          <w:tcPr>
            <w:tcW w:type="dxa" w:w="2076"/>
          </w:tcPr>
          <w:p>
            <w:pPr>
              <w:pStyle w:val="null5"/>
              <w:jc w:val="left"/>
            </w:pPr>
            <w:r>
              <w:rPr>
                <w:rFonts w:ascii="仿宋_GB2312" w:hAnsi="仿宋_GB2312" w:cs="仿宋_GB2312" w:eastAsia="仿宋_GB2312"/>
              </w:rPr>
              <w:t>表面体积电阻率测定仪</w:t>
            </w:r>
          </w:p>
        </w:tc>
        <w:tc>
          <w:tcPr>
            <w:tcW w:type="dxa" w:w="2076"/>
          </w:tcPr>
          <w:p>
            <w:pPr>
              <w:pStyle w:val="null5"/>
              <w:jc w:val="left"/>
            </w:pPr>
            <w:r>
              <w:rPr>
                <w:rFonts w:ascii="仿宋_GB2312" w:hAnsi="仿宋_GB2312" w:cs="仿宋_GB2312" w:eastAsia="仿宋_GB2312"/>
              </w:rPr>
              <w:t>数量：5台</w:t>
            </w:r>
          </w:p>
        </w:tc>
      </w:tr>
      <w:tr>
        <w:tc>
          <w:tcPr>
            <w:tcW w:type="dxa" w:w="2076"/>
          </w:tcPr>
          <w:p>
            <w:pPr>
              <w:pStyle w:val="null5"/>
              <w:jc w:val="left"/>
            </w:pPr>
            <w:r>
              <w:rPr>
                <w:rFonts w:ascii="仿宋_GB2312" w:hAnsi="仿宋_GB2312" w:cs="仿宋_GB2312" w:eastAsia="仿宋_GB2312"/>
              </w:rPr>
              <w:t>29</w:t>
            </w:r>
          </w:p>
        </w:tc>
        <w:tc>
          <w:tcPr>
            <w:tcW w:type="dxa" w:w="2076"/>
          </w:tcPr>
          <w:p/>
        </w:tc>
        <w:tc>
          <w:tcPr>
            <w:tcW w:type="dxa" w:w="2076"/>
          </w:tcPr>
          <w:p>
            <w:pPr>
              <w:pStyle w:val="null5"/>
              <w:jc w:val="left"/>
            </w:pPr>
            <w:r>
              <w:rPr>
                <w:rFonts w:ascii="仿宋_GB2312" w:hAnsi="仿宋_GB2312" w:cs="仿宋_GB2312" w:eastAsia="仿宋_GB2312"/>
              </w:rPr>
              <w:t>表面体积电阻率测定仪</w:t>
            </w:r>
          </w:p>
        </w:tc>
        <w:tc>
          <w:tcPr>
            <w:tcW w:type="dxa" w:w="2076"/>
          </w:tcPr>
          <w:p>
            <w:pPr>
              <w:pStyle w:val="null5"/>
              <w:jc w:val="left"/>
            </w:pPr>
            <w:r>
              <w:rPr>
                <w:rFonts w:ascii="仿宋_GB2312" w:hAnsi="仿宋_GB2312" w:cs="仿宋_GB2312" w:eastAsia="仿宋_GB2312"/>
              </w:rPr>
              <w:t>1、可测量体积电阻率、表面电阻率和绝缘电阻； 2、分多档位电压和电阻量程测量，确保不同等级试品测试的准确性； 3、配置试验箱和RV、RS档位，屏蔽效果好，切换方便； 4、试验结束按钮自动放电 5、电阻测量范围：应包含1×106～1×1016Ω 6、电阻测量误差：1×106～1×109Ω：≥-2%且≤2%； 1×109～1×1011Ω：≥-5%且≤5%； 1×1011～1×1013Ω：≥-10%且≤10%； 1×1013以上：≥-20%且≤20% 7、直流电压量程：10/50/100/250/500/1000V 8、直流电压误差：≤50V时≤5%，&gt;50V时≤1% 9、测试过程全自动,触摸屏显示，显示模式为数显，方便读取、记录数据</w:t>
            </w:r>
          </w:p>
        </w:tc>
      </w:tr>
      <w:tr>
        <w:tc>
          <w:tcPr>
            <w:tcW w:type="dxa" w:w="2076"/>
          </w:tcPr>
          <w:p>
            <w:pPr>
              <w:pStyle w:val="null5"/>
              <w:jc w:val="left"/>
            </w:pPr>
            <w:r>
              <w:rPr>
                <w:rFonts w:ascii="仿宋_GB2312" w:hAnsi="仿宋_GB2312" w:cs="仿宋_GB2312" w:eastAsia="仿宋_GB2312"/>
              </w:rPr>
              <w:t>30</w:t>
            </w:r>
          </w:p>
        </w:tc>
        <w:tc>
          <w:tcPr>
            <w:tcW w:type="dxa" w:w="2076"/>
          </w:tcPr>
          <w:p/>
        </w:tc>
        <w:tc>
          <w:tcPr>
            <w:tcW w:type="dxa" w:w="2076"/>
          </w:tcPr>
          <w:p>
            <w:pPr>
              <w:pStyle w:val="null5"/>
              <w:jc w:val="left"/>
            </w:pPr>
            <w:r>
              <w:rPr>
                <w:rFonts w:ascii="仿宋_GB2312" w:hAnsi="仿宋_GB2312" w:cs="仿宋_GB2312" w:eastAsia="仿宋_GB2312"/>
              </w:rPr>
              <w:t>注塑机</w:t>
            </w:r>
          </w:p>
        </w:tc>
        <w:tc>
          <w:tcPr>
            <w:tcW w:type="dxa" w:w="2076"/>
          </w:tcPr>
          <w:p>
            <w:pPr>
              <w:pStyle w:val="null5"/>
              <w:jc w:val="left"/>
            </w:pPr>
            <w:r>
              <w:rPr>
                <w:rFonts w:ascii="仿宋_GB2312" w:hAnsi="仿宋_GB2312" w:cs="仿宋_GB2312" w:eastAsia="仿宋_GB2312"/>
              </w:rPr>
              <w:t>数量：1台</w:t>
            </w:r>
          </w:p>
        </w:tc>
      </w:tr>
      <w:tr>
        <w:tc>
          <w:tcPr>
            <w:tcW w:type="dxa" w:w="2076"/>
          </w:tcPr>
          <w:p>
            <w:pPr>
              <w:pStyle w:val="null5"/>
              <w:jc w:val="left"/>
            </w:pPr>
            <w:r>
              <w:rPr>
                <w:rFonts w:ascii="仿宋_GB2312" w:hAnsi="仿宋_GB2312" w:cs="仿宋_GB2312" w:eastAsia="仿宋_GB2312"/>
              </w:rPr>
              <w:t>31</w:t>
            </w:r>
          </w:p>
        </w:tc>
        <w:tc>
          <w:tcPr>
            <w:tcW w:type="dxa" w:w="2076"/>
          </w:tcPr>
          <w:p/>
        </w:tc>
        <w:tc>
          <w:tcPr>
            <w:tcW w:type="dxa" w:w="2076"/>
          </w:tcPr>
          <w:p>
            <w:pPr>
              <w:pStyle w:val="null5"/>
              <w:jc w:val="left"/>
            </w:pPr>
            <w:r>
              <w:rPr>
                <w:rFonts w:ascii="仿宋_GB2312" w:hAnsi="仿宋_GB2312" w:cs="仿宋_GB2312" w:eastAsia="仿宋_GB2312"/>
              </w:rPr>
              <w:t>注塑机</w:t>
            </w:r>
          </w:p>
        </w:tc>
        <w:tc>
          <w:tcPr>
            <w:tcW w:type="dxa" w:w="2076"/>
          </w:tcPr>
          <w:p>
            <w:pPr>
              <w:pStyle w:val="null5"/>
              <w:jc w:val="left"/>
            </w:pPr>
            <w:r>
              <w:rPr>
                <w:rFonts w:ascii="仿宋_GB2312" w:hAnsi="仿宋_GB2312" w:cs="仿宋_GB2312" w:eastAsia="仿宋_GB2312"/>
              </w:rPr>
              <w:t>注射筒直径：≥Φ16mm（max）</w:t>
            </w:r>
          </w:p>
        </w:tc>
      </w:tr>
      <w:tr>
        <w:tc>
          <w:tcPr>
            <w:tcW w:type="dxa" w:w="2076"/>
          </w:tcPr>
          <w:p>
            <w:pPr>
              <w:pStyle w:val="null5"/>
              <w:jc w:val="left"/>
            </w:pPr>
            <w:r>
              <w:rPr>
                <w:rFonts w:ascii="仿宋_GB2312" w:hAnsi="仿宋_GB2312" w:cs="仿宋_GB2312" w:eastAsia="仿宋_GB2312"/>
              </w:rPr>
              <w:t>32</w:t>
            </w:r>
          </w:p>
        </w:tc>
        <w:tc>
          <w:tcPr>
            <w:tcW w:type="dxa" w:w="2076"/>
          </w:tcPr>
          <w:p/>
        </w:tc>
        <w:tc>
          <w:tcPr>
            <w:tcW w:type="dxa" w:w="2076"/>
          </w:tcPr>
          <w:p>
            <w:pPr>
              <w:pStyle w:val="null5"/>
              <w:jc w:val="left"/>
            </w:pPr>
            <w:r>
              <w:rPr>
                <w:rFonts w:ascii="仿宋_GB2312" w:hAnsi="仿宋_GB2312" w:cs="仿宋_GB2312" w:eastAsia="仿宋_GB2312"/>
              </w:rPr>
              <w:t>注塑机</w:t>
            </w:r>
          </w:p>
        </w:tc>
        <w:tc>
          <w:tcPr>
            <w:tcW w:type="dxa" w:w="2076"/>
          </w:tcPr>
          <w:p>
            <w:pPr>
              <w:pStyle w:val="null5"/>
              <w:jc w:val="left"/>
            </w:pPr>
            <w:r>
              <w:rPr>
                <w:rFonts w:ascii="仿宋_GB2312" w:hAnsi="仿宋_GB2312" w:cs="仿宋_GB2312" w:eastAsia="仿宋_GB2312"/>
              </w:rPr>
              <w:t>注射缸及注射杠材料热处理：不锈钢S136氮化处理</w:t>
            </w:r>
          </w:p>
        </w:tc>
      </w:tr>
      <w:tr>
        <w:tc>
          <w:tcPr>
            <w:tcW w:type="dxa" w:w="2076"/>
          </w:tcPr>
          <w:p>
            <w:pPr>
              <w:pStyle w:val="null5"/>
              <w:jc w:val="left"/>
            </w:pPr>
            <w:r>
              <w:rPr>
                <w:rFonts w:ascii="仿宋_GB2312" w:hAnsi="仿宋_GB2312" w:cs="仿宋_GB2312" w:eastAsia="仿宋_GB2312"/>
              </w:rPr>
              <w:t>33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注塑机</w:t>
            </w:r>
          </w:p>
        </w:tc>
        <w:tc>
          <w:tcPr>
            <w:tcW w:type="dxa" w:w="2076"/>
          </w:tcPr>
          <w:p>
            <w:pPr>
              <w:pStyle w:val="null5"/>
              <w:jc w:val="left"/>
            </w:pPr>
            <w:r>
              <w:rPr>
                <w:rFonts w:ascii="仿宋_GB2312" w:hAnsi="仿宋_GB2312" w:cs="仿宋_GB2312" w:eastAsia="仿宋_GB2312"/>
              </w:rPr>
              <w:t>注射量≤20g（max），注射压力≤120MPa（max），锁模力(气液增压)≥40T</w:t>
            </w:r>
          </w:p>
        </w:tc>
      </w:tr>
      <w:tr>
        <w:tc>
          <w:tcPr>
            <w:tcW w:type="dxa" w:w="2076"/>
          </w:tcPr>
          <w:p>
            <w:pPr>
              <w:pStyle w:val="null5"/>
              <w:jc w:val="left"/>
            </w:pPr>
            <w:r>
              <w:rPr>
                <w:rFonts w:ascii="仿宋_GB2312" w:hAnsi="仿宋_GB2312" w:cs="仿宋_GB2312" w:eastAsia="仿宋_GB2312"/>
              </w:rPr>
              <w:t>34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注塑机</w:t>
            </w:r>
          </w:p>
        </w:tc>
        <w:tc>
          <w:tcPr>
            <w:tcW w:type="dxa" w:w="2076"/>
          </w:tcPr>
          <w:p>
            <w:pPr>
              <w:pStyle w:val="null5"/>
              <w:jc w:val="left"/>
            </w:pPr>
            <w:r>
              <w:rPr>
                <w:rFonts w:ascii="仿宋_GB2312" w:hAnsi="仿宋_GB2312" w:cs="仿宋_GB2312" w:eastAsia="仿宋_GB2312"/>
              </w:rPr>
              <w:t>注射方式：自动注射，自动合模开模，装填一次原料可连续注射多个样条</w:t>
            </w:r>
          </w:p>
        </w:tc>
      </w:tr>
      <w:tr>
        <w:tc>
          <w:tcPr>
            <w:tcW w:type="dxa" w:w="2076"/>
          </w:tcPr>
          <w:p>
            <w:pPr>
              <w:pStyle w:val="null5"/>
              <w:jc w:val="left"/>
            </w:pPr>
            <w:r>
              <w:rPr>
                <w:rFonts w:ascii="仿宋_GB2312" w:hAnsi="仿宋_GB2312" w:cs="仿宋_GB2312" w:eastAsia="仿宋_GB2312"/>
              </w:rPr>
              <w:t>35</w:t>
            </w:r>
          </w:p>
        </w:tc>
        <w:tc>
          <w:tcPr>
            <w:tcW w:type="dxa" w:w="2076"/>
          </w:tcPr>
          <w:p/>
        </w:tc>
        <w:tc>
          <w:tcPr>
            <w:tcW w:type="dxa" w:w="2076"/>
          </w:tcPr>
          <w:p>
            <w:pPr>
              <w:pStyle w:val="null5"/>
              <w:jc w:val="left"/>
            </w:pPr>
            <w:r>
              <w:rPr>
                <w:rFonts w:ascii="仿宋_GB2312" w:hAnsi="仿宋_GB2312" w:cs="仿宋_GB2312" w:eastAsia="仿宋_GB2312"/>
              </w:rPr>
              <w:t>注塑机</w:t>
            </w:r>
          </w:p>
        </w:tc>
        <w:tc>
          <w:tcPr>
            <w:tcW w:type="dxa" w:w="2076"/>
          </w:tcPr>
          <w:p>
            <w:pPr>
              <w:pStyle w:val="null5"/>
              <w:jc w:val="left"/>
            </w:pPr>
            <w:r>
              <w:rPr>
                <w:rFonts w:ascii="仿宋_GB2312" w:hAnsi="仿宋_GB2312" w:cs="仿宋_GB2312" w:eastAsia="仿宋_GB2312"/>
              </w:rPr>
              <w:t>外形尺寸：≤800×320×450（长×宽×高）mm</w:t>
            </w:r>
          </w:p>
        </w:tc>
      </w:tr>
      <w:tr>
        <w:tc>
          <w:tcPr>
            <w:tcW w:type="dxa" w:w="2076"/>
          </w:tcPr>
          <w:p>
            <w:pPr>
              <w:pStyle w:val="null5"/>
              <w:jc w:val="left"/>
            </w:pPr>
            <w:r>
              <w:rPr>
                <w:rFonts w:ascii="仿宋_GB2312" w:hAnsi="仿宋_GB2312" w:cs="仿宋_GB2312" w:eastAsia="仿宋_GB2312"/>
              </w:rPr>
              <w:t>36</w:t>
            </w:r>
          </w:p>
        </w:tc>
        <w:tc>
          <w:tcPr>
            <w:tcW w:type="dxa" w:w="2076"/>
          </w:tcPr>
          <w:p/>
        </w:tc>
        <w:tc>
          <w:tcPr>
            <w:tcW w:type="dxa" w:w="2076"/>
          </w:tcPr>
          <w:p>
            <w:pPr>
              <w:pStyle w:val="null5"/>
              <w:jc w:val="left"/>
            </w:pPr>
            <w:r>
              <w:rPr>
                <w:rFonts w:ascii="仿宋_GB2312" w:hAnsi="仿宋_GB2312" w:cs="仿宋_GB2312" w:eastAsia="仿宋_GB2312"/>
              </w:rPr>
              <w:t>注塑机</w:t>
            </w:r>
          </w:p>
        </w:tc>
        <w:tc>
          <w:tcPr>
            <w:tcW w:type="dxa" w:w="2076"/>
          </w:tcPr>
          <w:p>
            <w:pPr>
              <w:pStyle w:val="null5"/>
              <w:jc w:val="left"/>
            </w:pPr>
            <w:r>
              <w:rPr>
                <w:rFonts w:ascii="仿宋_GB2312" w:hAnsi="仿宋_GB2312" w:cs="仿宋_GB2312" w:eastAsia="仿宋_GB2312"/>
              </w:rPr>
              <w:t>整机总量：≤120kg</w:t>
            </w:r>
          </w:p>
        </w:tc>
      </w:tr>
      <w:tr>
        <w:tc>
          <w:tcPr>
            <w:tcW w:type="dxa" w:w="2076"/>
          </w:tcPr>
          <w:p>
            <w:pPr>
              <w:pStyle w:val="null5"/>
              <w:jc w:val="left"/>
            </w:pPr>
            <w:r>
              <w:rPr>
                <w:rFonts w:ascii="仿宋_GB2312" w:hAnsi="仿宋_GB2312" w:cs="仿宋_GB2312" w:eastAsia="仿宋_GB2312"/>
              </w:rPr>
              <w:t>37</w:t>
            </w:r>
          </w:p>
        </w:tc>
        <w:tc>
          <w:tcPr>
            <w:tcW w:type="dxa" w:w="2076"/>
          </w:tcPr>
          <w:p/>
        </w:tc>
        <w:tc>
          <w:tcPr>
            <w:tcW w:type="dxa" w:w="2076"/>
          </w:tcPr>
          <w:p>
            <w:pPr>
              <w:pStyle w:val="null5"/>
              <w:jc w:val="left"/>
            </w:pPr>
            <w:r>
              <w:rPr>
                <w:rFonts w:ascii="仿宋_GB2312" w:hAnsi="仿宋_GB2312" w:cs="仿宋_GB2312" w:eastAsia="仿宋_GB2312"/>
              </w:rPr>
              <w:t>注塑机</w:t>
            </w:r>
          </w:p>
        </w:tc>
        <w:tc>
          <w:tcPr>
            <w:tcW w:type="dxa" w:w="2076"/>
          </w:tcPr>
          <w:p>
            <w:pPr>
              <w:pStyle w:val="null5"/>
              <w:jc w:val="left"/>
            </w:pPr>
            <w:r>
              <w:rPr>
                <w:rFonts w:ascii="仿宋_GB2312" w:hAnsi="仿宋_GB2312" w:cs="仿宋_GB2312" w:eastAsia="仿宋_GB2312"/>
              </w:rPr>
              <w:t>设备电源：220V,电流:≥5.0</w:t>
            </w:r>
          </w:p>
        </w:tc>
      </w:tr>
      <w:tr>
        <w:tc>
          <w:tcPr>
            <w:tcW w:type="dxa" w:w="2076"/>
          </w:tcPr>
          <w:p>
            <w:pPr>
              <w:pStyle w:val="null5"/>
              <w:jc w:val="left"/>
            </w:pPr>
            <w:r>
              <w:rPr>
                <w:rFonts w:ascii="仿宋_GB2312" w:hAnsi="仿宋_GB2312" w:cs="仿宋_GB2312" w:eastAsia="仿宋_GB2312"/>
              </w:rPr>
              <w:t>38</w:t>
            </w:r>
          </w:p>
        </w:tc>
        <w:tc>
          <w:tcPr>
            <w:tcW w:type="dxa" w:w="2076"/>
          </w:tcPr>
          <w:p/>
        </w:tc>
        <w:tc>
          <w:tcPr>
            <w:tcW w:type="dxa" w:w="2076"/>
          </w:tcPr>
          <w:p>
            <w:pPr>
              <w:pStyle w:val="null5"/>
              <w:jc w:val="left"/>
            </w:pPr>
            <w:r>
              <w:rPr>
                <w:rFonts w:ascii="仿宋_GB2312" w:hAnsi="仿宋_GB2312" w:cs="仿宋_GB2312" w:eastAsia="仿宋_GB2312"/>
              </w:rPr>
              <w:t>注塑机</w:t>
            </w:r>
          </w:p>
        </w:tc>
        <w:tc>
          <w:tcPr>
            <w:tcW w:type="dxa" w:w="2076"/>
          </w:tcPr>
          <w:p>
            <w:pPr>
              <w:pStyle w:val="null5"/>
              <w:jc w:val="left"/>
            </w:pPr>
            <w:r>
              <w:rPr>
                <w:rFonts w:ascii="仿宋_GB2312" w:hAnsi="仿宋_GB2312" w:cs="仿宋_GB2312" w:eastAsia="仿宋_GB2312"/>
              </w:rPr>
              <w:t>温控区：2区,仪表温度控制，最高使用温度≥450℃</w:t>
            </w:r>
          </w:p>
        </w:tc>
      </w:tr>
      <w:tr>
        <w:tc>
          <w:tcPr>
            <w:tcW w:type="dxa" w:w="2076"/>
          </w:tcPr>
          <w:p>
            <w:pPr>
              <w:pStyle w:val="null5"/>
              <w:jc w:val="left"/>
            </w:pPr>
            <w:r>
              <w:rPr>
                <w:rFonts w:ascii="仿宋_GB2312" w:hAnsi="仿宋_GB2312" w:cs="仿宋_GB2312" w:eastAsia="仿宋_GB2312"/>
              </w:rPr>
              <w:t>39</w:t>
            </w:r>
          </w:p>
        </w:tc>
        <w:tc>
          <w:tcPr>
            <w:tcW w:type="dxa" w:w="2076"/>
          </w:tcPr>
          <w:p/>
        </w:tc>
        <w:tc>
          <w:tcPr>
            <w:tcW w:type="dxa" w:w="2076"/>
          </w:tcPr>
          <w:p>
            <w:pPr>
              <w:pStyle w:val="null5"/>
              <w:jc w:val="left"/>
            </w:pPr>
            <w:r>
              <w:rPr>
                <w:rFonts w:ascii="仿宋_GB2312" w:hAnsi="仿宋_GB2312" w:cs="仿宋_GB2312" w:eastAsia="仿宋_GB2312"/>
              </w:rPr>
              <w:t>注塑机</w:t>
            </w:r>
          </w:p>
        </w:tc>
        <w:tc>
          <w:tcPr>
            <w:tcW w:type="dxa" w:w="2076"/>
          </w:tcPr>
          <w:p>
            <w:pPr>
              <w:pStyle w:val="null5"/>
              <w:jc w:val="left"/>
            </w:pPr>
            <w:r>
              <w:rPr>
                <w:rFonts w:ascii="仿宋_GB2312" w:hAnsi="仿宋_GB2312" w:cs="仿宋_GB2312" w:eastAsia="仿宋_GB2312"/>
              </w:rPr>
              <w:t>该设备可与微型双螺杆挤出机联合使用，物料可直接进入注射机的注射套内，并直接方便注射成型所需样条及各种注射制品</w:t>
            </w:r>
          </w:p>
        </w:tc>
      </w:tr>
      <w:tr>
        <w:tc>
          <w:tcPr>
            <w:tcW w:type="dxa" w:w="2076"/>
          </w:tcPr>
          <w:p>
            <w:pPr>
              <w:pStyle w:val="null5"/>
              <w:jc w:val="left"/>
            </w:pPr>
            <w:r>
              <w:rPr>
                <w:rFonts w:ascii="仿宋_GB2312" w:hAnsi="仿宋_GB2312" w:cs="仿宋_GB2312" w:eastAsia="仿宋_GB2312"/>
              </w:rPr>
              <w:t>40</w:t>
            </w:r>
          </w:p>
        </w:tc>
        <w:tc>
          <w:tcPr>
            <w:tcW w:type="dxa" w:w="2076"/>
          </w:tcPr>
          <w:p/>
        </w:tc>
        <w:tc>
          <w:tcPr>
            <w:tcW w:type="dxa" w:w="2076"/>
          </w:tcPr>
          <w:p>
            <w:pPr>
              <w:pStyle w:val="null5"/>
              <w:jc w:val="left"/>
            </w:pPr>
            <w:r>
              <w:rPr>
                <w:rFonts w:ascii="仿宋_GB2312" w:hAnsi="仿宋_GB2312" w:cs="仿宋_GB2312" w:eastAsia="仿宋_GB2312"/>
              </w:rPr>
              <w:t>注塑机</w:t>
            </w:r>
          </w:p>
        </w:tc>
        <w:tc>
          <w:tcPr>
            <w:tcW w:type="dxa" w:w="2076"/>
          </w:tcPr>
          <w:p>
            <w:pPr>
              <w:pStyle w:val="null5"/>
              <w:jc w:val="left"/>
            </w:pPr>
            <w:r>
              <w:rPr>
                <w:rFonts w:ascii="仿宋_GB2312" w:hAnsi="仿宋_GB2312" w:cs="仿宋_GB2312" w:eastAsia="仿宋_GB2312"/>
              </w:rPr>
              <w:t>配备空压机或氮气瓶：压力≤1MPa，储气量≥60L</w:t>
            </w:r>
          </w:p>
        </w:tc>
      </w:tr>
      <w:tr>
        <w:tc>
          <w:tcPr>
            <w:tcW w:type="dxa" w:w="2076"/>
          </w:tcPr>
          <w:p>
            <w:pPr>
              <w:pStyle w:val="null5"/>
              <w:jc w:val="left"/>
            </w:pPr>
            <w:r>
              <w:rPr>
                <w:rFonts w:ascii="仿宋_GB2312" w:hAnsi="仿宋_GB2312" w:cs="仿宋_GB2312" w:eastAsia="仿宋_GB2312"/>
              </w:rPr>
              <w:t>41</w:t>
            </w:r>
          </w:p>
        </w:tc>
        <w:tc>
          <w:tcPr>
            <w:tcW w:type="dxa" w:w="2076"/>
          </w:tcPr>
          <w:p/>
        </w:tc>
        <w:tc>
          <w:tcPr>
            <w:tcW w:type="dxa" w:w="2076"/>
          </w:tcPr>
          <w:p>
            <w:pPr>
              <w:pStyle w:val="null5"/>
              <w:jc w:val="left"/>
            </w:pPr>
            <w:r>
              <w:rPr>
                <w:rFonts w:ascii="仿宋_GB2312" w:hAnsi="仿宋_GB2312" w:cs="仿宋_GB2312" w:eastAsia="仿宋_GB2312"/>
              </w:rPr>
              <w:t>注塑机</w:t>
            </w:r>
          </w:p>
        </w:tc>
        <w:tc>
          <w:tcPr>
            <w:tcW w:type="dxa" w:w="2076"/>
          </w:tcPr>
          <w:p>
            <w:pPr>
              <w:pStyle w:val="null5"/>
              <w:jc w:val="left"/>
            </w:pPr>
            <w:r>
              <w:rPr>
                <w:rFonts w:ascii="仿宋_GB2312" w:hAnsi="仿宋_GB2312" w:cs="仿宋_GB2312" w:eastAsia="仿宋_GB2312"/>
              </w:rPr>
              <w:t>拉伸、冲击样条各一套</w:t>
            </w:r>
          </w:p>
        </w:tc>
      </w:tr>
      <w:tr>
        <w:tc>
          <w:tcPr>
            <w:tcW w:type="dxa" w:w="2076"/>
          </w:tcPr>
          <w:p>
            <w:pPr>
              <w:pStyle w:val="null5"/>
              <w:jc w:val="left"/>
            </w:pPr>
            <w:r>
              <w:rPr>
                <w:rFonts w:ascii="仿宋_GB2312" w:hAnsi="仿宋_GB2312" w:cs="仿宋_GB2312" w:eastAsia="仿宋_GB2312"/>
              </w:rPr>
              <w:t>42</w:t>
            </w:r>
          </w:p>
        </w:tc>
        <w:tc>
          <w:tcPr>
            <w:tcW w:type="dxa" w:w="2076"/>
          </w:tcPr>
          <w:p/>
        </w:tc>
        <w:tc>
          <w:tcPr>
            <w:tcW w:type="dxa" w:w="2076"/>
          </w:tcPr>
          <w:p>
            <w:pPr>
              <w:pStyle w:val="null5"/>
              <w:jc w:val="left"/>
            </w:pPr>
            <w:r>
              <w:rPr>
                <w:rFonts w:ascii="仿宋_GB2312" w:hAnsi="仿宋_GB2312" w:cs="仿宋_GB2312" w:eastAsia="仿宋_GB2312"/>
              </w:rPr>
              <w:t>毛细管流变仪</w:t>
            </w:r>
          </w:p>
        </w:tc>
        <w:tc>
          <w:tcPr>
            <w:tcW w:type="dxa" w:w="2076"/>
          </w:tcPr>
          <w:p>
            <w:pPr>
              <w:pStyle w:val="null5"/>
              <w:jc w:val="left"/>
            </w:pPr>
            <w:r>
              <w:rPr>
                <w:rFonts w:ascii="仿宋_GB2312" w:hAnsi="仿宋_GB2312" w:cs="仿宋_GB2312" w:eastAsia="仿宋_GB2312"/>
              </w:rPr>
              <w:t>数量：2台</w:t>
            </w:r>
          </w:p>
        </w:tc>
      </w:tr>
      <w:tr>
        <w:tc>
          <w:tcPr>
            <w:tcW w:type="dxa" w:w="2076"/>
          </w:tcPr>
          <w:p>
            <w:pPr>
              <w:pStyle w:val="null5"/>
              <w:jc w:val="left"/>
            </w:pPr>
            <w:r>
              <w:rPr>
                <w:rFonts w:ascii="仿宋_GB2312" w:hAnsi="仿宋_GB2312" w:cs="仿宋_GB2312" w:eastAsia="仿宋_GB2312"/>
              </w:rPr>
              <w:t>43</w:t>
            </w:r>
          </w:p>
        </w:tc>
        <w:tc>
          <w:tcPr>
            <w:tcW w:type="dxa" w:w="2076"/>
          </w:tcPr>
          <w:p/>
        </w:tc>
        <w:tc>
          <w:tcPr>
            <w:tcW w:type="dxa" w:w="2076"/>
          </w:tcPr>
          <w:p>
            <w:pPr>
              <w:pStyle w:val="null5"/>
              <w:jc w:val="left"/>
            </w:pPr>
            <w:r>
              <w:rPr>
                <w:rFonts w:ascii="仿宋_GB2312" w:hAnsi="仿宋_GB2312" w:cs="仿宋_GB2312" w:eastAsia="仿宋_GB2312"/>
              </w:rPr>
              <w:t>毛细管流变仪</w:t>
            </w:r>
          </w:p>
        </w:tc>
        <w:tc>
          <w:tcPr>
            <w:tcW w:type="dxa" w:w="2076"/>
          </w:tcPr>
          <w:p>
            <w:pPr>
              <w:pStyle w:val="null5"/>
              <w:jc w:val="left"/>
            </w:pPr>
            <w:r>
              <w:rPr>
                <w:rFonts w:ascii="仿宋_GB2312" w:hAnsi="仿宋_GB2312" w:cs="仿宋_GB2312" w:eastAsia="仿宋_GB2312"/>
              </w:rPr>
              <w:t>温度范围：≥400℃</w:t>
            </w:r>
          </w:p>
        </w:tc>
      </w:tr>
      <w:tr>
        <w:tc>
          <w:tcPr>
            <w:tcW w:type="dxa" w:w="2076"/>
          </w:tcPr>
          <w:p>
            <w:pPr>
              <w:pStyle w:val="null5"/>
              <w:jc w:val="left"/>
            </w:pPr>
            <w:r>
              <w:rPr>
                <w:rFonts w:ascii="仿宋_GB2312" w:hAnsi="仿宋_GB2312" w:cs="仿宋_GB2312" w:eastAsia="仿宋_GB2312"/>
              </w:rPr>
              <w:t>44</w:t>
            </w:r>
          </w:p>
        </w:tc>
        <w:tc>
          <w:tcPr>
            <w:tcW w:type="dxa" w:w="2076"/>
          </w:tcPr>
          <w:p/>
        </w:tc>
        <w:tc>
          <w:tcPr>
            <w:tcW w:type="dxa" w:w="2076"/>
          </w:tcPr>
          <w:p>
            <w:pPr>
              <w:pStyle w:val="null5"/>
              <w:jc w:val="left"/>
            </w:pPr>
            <w:r>
              <w:rPr>
                <w:rFonts w:ascii="仿宋_GB2312" w:hAnsi="仿宋_GB2312" w:cs="仿宋_GB2312" w:eastAsia="仿宋_GB2312"/>
              </w:rPr>
              <w:t>毛细管流变仪</w:t>
            </w:r>
          </w:p>
        </w:tc>
        <w:tc>
          <w:tcPr>
            <w:tcW w:type="dxa" w:w="2076"/>
          </w:tcPr>
          <w:p>
            <w:pPr>
              <w:pStyle w:val="null5"/>
              <w:jc w:val="left"/>
            </w:pPr>
            <w:r>
              <w:rPr>
                <w:rFonts w:ascii="仿宋_GB2312" w:hAnsi="仿宋_GB2312" w:cs="仿宋_GB2312" w:eastAsia="仿宋_GB2312"/>
              </w:rPr>
              <w:t>升温速率：≥10℃/min，连续可调，并可快速升温</w:t>
            </w:r>
          </w:p>
        </w:tc>
      </w:tr>
      <w:tr>
        <w:tc>
          <w:tcPr>
            <w:tcW w:type="dxa" w:w="2076"/>
          </w:tcPr>
          <w:p>
            <w:pPr>
              <w:pStyle w:val="null5"/>
              <w:jc w:val="left"/>
            </w:pPr>
            <w:r>
              <w:rPr>
                <w:rFonts w:ascii="仿宋_GB2312" w:hAnsi="仿宋_GB2312" w:cs="仿宋_GB2312" w:eastAsia="仿宋_GB2312"/>
              </w:rPr>
              <w:t>45</w:t>
            </w:r>
          </w:p>
        </w:tc>
        <w:tc>
          <w:tcPr>
            <w:tcW w:type="dxa" w:w="2076"/>
          </w:tcPr>
          <w:p/>
        </w:tc>
        <w:tc>
          <w:tcPr>
            <w:tcW w:type="dxa" w:w="2076"/>
          </w:tcPr>
          <w:p>
            <w:pPr>
              <w:pStyle w:val="null5"/>
              <w:jc w:val="left"/>
            </w:pPr>
            <w:r>
              <w:rPr>
                <w:rFonts w:ascii="仿宋_GB2312" w:hAnsi="仿宋_GB2312" w:cs="仿宋_GB2312" w:eastAsia="仿宋_GB2312"/>
              </w:rPr>
              <w:t>毛细管流变仪</w:t>
            </w:r>
          </w:p>
        </w:tc>
        <w:tc>
          <w:tcPr>
            <w:tcW w:type="dxa" w:w="2076"/>
          </w:tcPr>
          <w:p>
            <w:pPr>
              <w:pStyle w:val="null5"/>
              <w:jc w:val="left"/>
            </w:pPr>
            <w:r>
              <w:rPr>
                <w:rFonts w:ascii="仿宋_GB2312" w:hAnsi="仿宋_GB2312" w:cs="仿宋_GB2312" w:eastAsia="仿宋_GB2312"/>
              </w:rPr>
              <w:t>测温显示精度：≤0.1℃</w:t>
            </w:r>
          </w:p>
        </w:tc>
      </w:tr>
      <w:tr>
        <w:tc>
          <w:tcPr>
            <w:tcW w:type="dxa" w:w="2076"/>
          </w:tcPr>
          <w:p>
            <w:pPr>
              <w:pStyle w:val="null5"/>
              <w:jc w:val="left"/>
            </w:pPr>
            <w:r>
              <w:rPr>
                <w:rFonts w:ascii="仿宋_GB2312" w:hAnsi="仿宋_GB2312" w:cs="仿宋_GB2312" w:eastAsia="仿宋_GB2312"/>
              </w:rPr>
              <w:t>46</w:t>
            </w:r>
          </w:p>
        </w:tc>
        <w:tc>
          <w:tcPr>
            <w:tcW w:type="dxa" w:w="2076"/>
          </w:tcPr>
          <w:p/>
        </w:tc>
        <w:tc>
          <w:tcPr>
            <w:tcW w:type="dxa" w:w="2076"/>
          </w:tcPr>
          <w:p>
            <w:pPr>
              <w:pStyle w:val="null5"/>
              <w:jc w:val="left"/>
            </w:pPr>
            <w:r>
              <w:rPr>
                <w:rFonts w:ascii="仿宋_GB2312" w:hAnsi="仿宋_GB2312" w:cs="仿宋_GB2312" w:eastAsia="仿宋_GB2312"/>
              </w:rPr>
              <w:t>毛细管流变仪</w:t>
            </w:r>
          </w:p>
        </w:tc>
        <w:tc>
          <w:tcPr>
            <w:tcW w:type="dxa" w:w="2076"/>
          </w:tcPr>
          <w:p>
            <w:pPr>
              <w:pStyle w:val="null5"/>
              <w:jc w:val="left"/>
            </w:pPr>
            <w:r>
              <w:rPr>
                <w:rFonts w:ascii="仿宋_GB2312" w:hAnsi="仿宋_GB2312" w:cs="仿宋_GB2312" w:eastAsia="仿宋_GB2312"/>
              </w:rPr>
              <w:t>压力范围：≥50MPa</w:t>
            </w:r>
          </w:p>
        </w:tc>
      </w:tr>
      <w:tr>
        <w:tc>
          <w:tcPr>
            <w:tcW w:type="dxa" w:w="2076"/>
          </w:tcPr>
          <w:p>
            <w:pPr>
              <w:pStyle w:val="null5"/>
              <w:jc w:val="left"/>
            </w:pPr>
            <w:r>
              <w:rPr>
                <w:rFonts w:ascii="仿宋_GB2312" w:hAnsi="仿宋_GB2312" w:cs="仿宋_GB2312" w:eastAsia="仿宋_GB2312"/>
              </w:rPr>
              <w:t>47</w:t>
            </w:r>
          </w:p>
        </w:tc>
        <w:tc>
          <w:tcPr>
            <w:tcW w:type="dxa" w:w="2076"/>
          </w:tcPr>
          <w:p/>
        </w:tc>
        <w:tc>
          <w:tcPr>
            <w:tcW w:type="dxa" w:w="2076"/>
          </w:tcPr>
          <w:p>
            <w:pPr>
              <w:pStyle w:val="null5"/>
              <w:jc w:val="left"/>
            </w:pPr>
            <w:r>
              <w:rPr>
                <w:rFonts w:ascii="仿宋_GB2312" w:hAnsi="仿宋_GB2312" w:cs="仿宋_GB2312" w:eastAsia="仿宋_GB2312"/>
              </w:rPr>
              <w:t>毛细管流变仪</w:t>
            </w:r>
          </w:p>
        </w:tc>
        <w:tc>
          <w:tcPr>
            <w:tcW w:type="dxa" w:w="2076"/>
          </w:tcPr>
          <w:p>
            <w:pPr>
              <w:pStyle w:val="null5"/>
              <w:jc w:val="left"/>
            </w:pPr>
            <w:r>
              <w:rPr>
                <w:rFonts w:ascii="仿宋_GB2312" w:hAnsi="仿宋_GB2312" w:cs="仿宋_GB2312" w:eastAsia="仿宋_GB2312"/>
              </w:rPr>
              <w:t>最大驱动力：≥5KN</w:t>
            </w:r>
          </w:p>
        </w:tc>
      </w:tr>
      <w:tr>
        <w:tc>
          <w:tcPr>
            <w:tcW w:type="dxa" w:w="2076"/>
          </w:tcPr>
          <w:p>
            <w:pPr>
              <w:pStyle w:val="null5"/>
              <w:jc w:val="left"/>
            </w:pPr>
            <w:r>
              <w:rPr>
                <w:rFonts w:ascii="仿宋_GB2312" w:hAnsi="仿宋_GB2312" w:cs="仿宋_GB2312" w:eastAsia="仿宋_GB2312"/>
              </w:rPr>
              <w:t>48</w:t>
            </w:r>
          </w:p>
        </w:tc>
        <w:tc>
          <w:tcPr>
            <w:tcW w:type="dxa" w:w="2076"/>
          </w:tcPr>
          <w:p/>
        </w:tc>
        <w:tc>
          <w:tcPr>
            <w:tcW w:type="dxa" w:w="2076"/>
          </w:tcPr>
          <w:p>
            <w:pPr>
              <w:pStyle w:val="null5"/>
              <w:jc w:val="left"/>
            </w:pPr>
            <w:r>
              <w:rPr>
                <w:rFonts w:ascii="仿宋_GB2312" w:hAnsi="仿宋_GB2312" w:cs="仿宋_GB2312" w:eastAsia="仿宋_GB2312"/>
              </w:rPr>
              <w:t>毛细管流变仪</w:t>
            </w:r>
          </w:p>
        </w:tc>
        <w:tc>
          <w:tcPr>
            <w:tcW w:type="dxa" w:w="2076"/>
          </w:tcPr>
          <w:p>
            <w:pPr>
              <w:pStyle w:val="null5"/>
              <w:jc w:val="left"/>
            </w:pPr>
            <w:r>
              <w:rPr>
                <w:rFonts w:ascii="仿宋_GB2312" w:hAnsi="仿宋_GB2312" w:cs="仿宋_GB2312" w:eastAsia="仿宋_GB2312"/>
              </w:rPr>
              <w:t>压力测量精度：≥-0.5%FS且≤0.5%FS</w:t>
            </w:r>
          </w:p>
        </w:tc>
      </w:tr>
      <w:tr>
        <w:tc>
          <w:tcPr>
            <w:tcW w:type="dxa" w:w="2076"/>
          </w:tcPr>
          <w:p>
            <w:pPr>
              <w:pStyle w:val="null5"/>
              <w:jc w:val="left"/>
            </w:pPr>
            <w:r>
              <w:rPr>
                <w:rFonts w:ascii="仿宋_GB2312" w:hAnsi="仿宋_GB2312" w:cs="仿宋_GB2312" w:eastAsia="仿宋_GB2312"/>
              </w:rPr>
              <w:t>49</w:t>
            </w:r>
          </w:p>
        </w:tc>
        <w:tc>
          <w:tcPr>
            <w:tcW w:type="dxa" w:w="2076"/>
          </w:tcPr>
          <w:p/>
        </w:tc>
        <w:tc>
          <w:tcPr>
            <w:tcW w:type="dxa" w:w="2076"/>
          </w:tcPr>
          <w:p>
            <w:pPr>
              <w:pStyle w:val="null5"/>
              <w:jc w:val="left"/>
            </w:pPr>
            <w:r>
              <w:rPr>
                <w:rFonts w:ascii="仿宋_GB2312" w:hAnsi="仿宋_GB2312" w:cs="仿宋_GB2312" w:eastAsia="仿宋_GB2312"/>
              </w:rPr>
              <w:t>毛细管流变仪</w:t>
            </w:r>
          </w:p>
        </w:tc>
        <w:tc>
          <w:tcPr>
            <w:tcW w:type="dxa" w:w="2076"/>
          </w:tcPr>
          <w:p>
            <w:pPr>
              <w:pStyle w:val="null5"/>
              <w:jc w:val="left"/>
            </w:pPr>
            <w:r>
              <w:rPr>
                <w:rFonts w:ascii="仿宋_GB2312" w:hAnsi="仿宋_GB2312" w:cs="仿宋_GB2312" w:eastAsia="仿宋_GB2312"/>
              </w:rPr>
              <w:t>压力分辨率：≤0.1Mpa</w:t>
            </w:r>
          </w:p>
        </w:tc>
      </w:tr>
      <w:tr>
        <w:tc>
          <w:tcPr>
            <w:tcW w:type="dxa" w:w="2076"/>
          </w:tcPr>
          <w:p>
            <w:pPr>
              <w:pStyle w:val="null5"/>
              <w:jc w:val="left"/>
            </w:pPr>
            <w:r>
              <w:rPr>
                <w:rFonts w:ascii="仿宋_GB2312" w:hAnsi="仿宋_GB2312" w:cs="仿宋_GB2312" w:eastAsia="仿宋_GB2312"/>
              </w:rPr>
              <w:t>50</w:t>
            </w:r>
          </w:p>
        </w:tc>
        <w:tc>
          <w:tcPr>
            <w:tcW w:type="dxa" w:w="2076"/>
          </w:tcPr>
          <w:p/>
        </w:tc>
        <w:tc>
          <w:tcPr>
            <w:tcW w:type="dxa" w:w="2076"/>
          </w:tcPr>
          <w:p>
            <w:pPr>
              <w:pStyle w:val="null5"/>
              <w:jc w:val="left"/>
            </w:pPr>
            <w:r>
              <w:rPr>
                <w:rFonts w:ascii="仿宋_GB2312" w:hAnsi="仿宋_GB2312" w:cs="仿宋_GB2312" w:eastAsia="仿宋_GB2312"/>
              </w:rPr>
              <w:t>毛细管流变仪</w:t>
            </w:r>
          </w:p>
        </w:tc>
        <w:tc>
          <w:tcPr>
            <w:tcW w:type="dxa" w:w="2076"/>
          </w:tcPr>
          <w:p>
            <w:pPr>
              <w:pStyle w:val="null5"/>
              <w:jc w:val="left"/>
            </w:pPr>
            <w:r>
              <w:rPr>
                <w:rFonts w:ascii="仿宋_GB2312" w:hAnsi="仿宋_GB2312" w:cs="仿宋_GB2312" w:eastAsia="仿宋_GB2312"/>
              </w:rPr>
              <w:t>速度范围：≥500mm/min</w:t>
            </w:r>
          </w:p>
        </w:tc>
      </w:tr>
      <w:tr>
        <w:tc>
          <w:tcPr>
            <w:tcW w:type="dxa" w:w="2076"/>
          </w:tcPr>
          <w:p>
            <w:pPr>
              <w:pStyle w:val="null5"/>
              <w:jc w:val="left"/>
            </w:pPr>
            <w:r>
              <w:rPr>
                <w:rFonts w:ascii="仿宋_GB2312" w:hAnsi="仿宋_GB2312" w:cs="仿宋_GB2312" w:eastAsia="仿宋_GB2312"/>
              </w:rPr>
              <w:t>51</w:t>
            </w:r>
          </w:p>
        </w:tc>
        <w:tc>
          <w:tcPr>
            <w:tcW w:type="dxa" w:w="2076"/>
          </w:tcPr>
          <w:p/>
        </w:tc>
        <w:tc>
          <w:tcPr>
            <w:tcW w:type="dxa" w:w="2076"/>
          </w:tcPr>
          <w:p>
            <w:pPr>
              <w:pStyle w:val="null5"/>
              <w:jc w:val="left"/>
            </w:pPr>
            <w:r>
              <w:rPr>
                <w:rFonts w:ascii="仿宋_GB2312" w:hAnsi="仿宋_GB2312" w:cs="仿宋_GB2312" w:eastAsia="仿宋_GB2312"/>
              </w:rPr>
              <w:t>毛细管流变仪</w:t>
            </w:r>
          </w:p>
        </w:tc>
        <w:tc>
          <w:tcPr>
            <w:tcW w:type="dxa" w:w="2076"/>
          </w:tcPr>
          <w:p>
            <w:pPr>
              <w:pStyle w:val="null5"/>
              <w:jc w:val="left"/>
            </w:pPr>
            <w:r>
              <w:rPr>
                <w:rFonts w:ascii="仿宋_GB2312" w:hAnsi="仿宋_GB2312" w:cs="仿宋_GB2312" w:eastAsia="仿宋_GB2312"/>
              </w:rPr>
              <w:t>变形测量精度≥-0.5%FS且≤0.5%FS</w:t>
            </w:r>
          </w:p>
        </w:tc>
      </w:tr>
      <w:tr>
        <w:tc>
          <w:tcPr>
            <w:tcW w:type="dxa" w:w="2076"/>
          </w:tcPr>
          <w:p>
            <w:pPr>
              <w:pStyle w:val="null5"/>
              <w:jc w:val="left"/>
            </w:pPr>
            <w:r>
              <w:rPr>
                <w:rFonts w:ascii="仿宋_GB2312" w:hAnsi="仿宋_GB2312" w:cs="仿宋_GB2312" w:eastAsia="仿宋_GB2312"/>
              </w:rPr>
              <w:t>52</w:t>
            </w:r>
          </w:p>
        </w:tc>
        <w:tc>
          <w:tcPr>
            <w:tcW w:type="dxa" w:w="2076"/>
          </w:tcPr>
          <w:p/>
        </w:tc>
        <w:tc>
          <w:tcPr>
            <w:tcW w:type="dxa" w:w="2076"/>
          </w:tcPr>
          <w:p>
            <w:pPr>
              <w:pStyle w:val="null5"/>
              <w:jc w:val="left"/>
            </w:pPr>
            <w:r>
              <w:rPr>
                <w:rFonts w:ascii="仿宋_GB2312" w:hAnsi="仿宋_GB2312" w:cs="仿宋_GB2312" w:eastAsia="仿宋_GB2312"/>
              </w:rPr>
              <w:t>毛细管流变仪</w:t>
            </w:r>
          </w:p>
        </w:tc>
        <w:tc>
          <w:tcPr>
            <w:tcW w:type="dxa" w:w="2076"/>
          </w:tcPr>
          <w:p>
            <w:pPr>
              <w:pStyle w:val="null5"/>
              <w:jc w:val="left"/>
            </w:pPr>
            <w:r>
              <w:rPr>
                <w:rFonts w:ascii="仿宋_GB2312" w:hAnsi="仿宋_GB2312" w:cs="仿宋_GB2312" w:eastAsia="仿宋_GB2312"/>
              </w:rPr>
              <w:t>塞头直径：≥Φ12 mm</w:t>
            </w:r>
          </w:p>
        </w:tc>
      </w:tr>
      <w:tr>
        <w:tc>
          <w:tcPr>
            <w:tcW w:type="dxa" w:w="2076"/>
          </w:tcPr>
          <w:p>
            <w:pPr>
              <w:pStyle w:val="null5"/>
              <w:jc w:val="left"/>
            </w:pPr>
            <w:r>
              <w:rPr>
                <w:rFonts w:ascii="仿宋_GB2312" w:hAnsi="仿宋_GB2312" w:cs="仿宋_GB2312" w:eastAsia="仿宋_GB2312"/>
              </w:rPr>
              <w:t>53</w:t>
            </w:r>
          </w:p>
        </w:tc>
        <w:tc>
          <w:tcPr>
            <w:tcW w:type="dxa" w:w="2076"/>
          </w:tcPr>
          <w:p/>
        </w:tc>
        <w:tc>
          <w:tcPr>
            <w:tcW w:type="dxa" w:w="2076"/>
          </w:tcPr>
          <w:p>
            <w:pPr>
              <w:pStyle w:val="null5"/>
              <w:jc w:val="left"/>
            </w:pPr>
            <w:r>
              <w:rPr>
                <w:rFonts w:ascii="仿宋_GB2312" w:hAnsi="仿宋_GB2312" w:cs="仿宋_GB2312" w:eastAsia="仿宋_GB2312"/>
              </w:rPr>
              <w:t>毛细管流变仪</w:t>
            </w:r>
          </w:p>
        </w:tc>
        <w:tc>
          <w:tcPr>
            <w:tcW w:type="dxa" w:w="2076"/>
          </w:tcPr>
          <w:p>
            <w:pPr>
              <w:pStyle w:val="null5"/>
              <w:jc w:val="left"/>
            </w:pPr>
            <w:r>
              <w:rPr>
                <w:rFonts w:ascii="仿宋_GB2312" w:hAnsi="仿宋_GB2312" w:cs="仿宋_GB2312" w:eastAsia="仿宋_GB2312"/>
              </w:rPr>
              <w:t>塞头面积：≥113.04mm2</w:t>
            </w:r>
          </w:p>
        </w:tc>
      </w:tr>
      <w:tr>
        <w:tc>
          <w:tcPr>
            <w:tcW w:type="dxa" w:w="2076"/>
          </w:tcPr>
          <w:p>
            <w:pPr>
              <w:pStyle w:val="null5"/>
              <w:jc w:val="left"/>
            </w:pPr>
            <w:r>
              <w:rPr>
                <w:rFonts w:ascii="仿宋_GB2312" w:hAnsi="仿宋_GB2312" w:cs="仿宋_GB2312" w:eastAsia="仿宋_GB2312"/>
              </w:rPr>
              <w:t>54</w:t>
            </w:r>
          </w:p>
        </w:tc>
        <w:tc>
          <w:tcPr>
            <w:tcW w:type="dxa" w:w="2076"/>
          </w:tcPr>
          <w:p/>
        </w:tc>
        <w:tc>
          <w:tcPr>
            <w:tcW w:type="dxa" w:w="2076"/>
          </w:tcPr>
          <w:p>
            <w:pPr>
              <w:pStyle w:val="null5"/>
              <w:jc w:val="left"/>
            </w:pPr>
            <w:r>
              <w:rPr>
                <w:rFonts w:ascii="仿宋_GB2312" w:hAnsi="仿宋_GB2312" w:cs="仿宋_GB2312" w:eastAsia="仿宋_GB2312"/>
              </w:rPr>
              <w:t>毛细管流变仪</w:t>
            </w:r>
          </w:p>
        </w:tc>
        <w:tc>
          <w:tcPr>
            <w:tcW w:type="dxa" w:w="2076"/>
          </w:tcPr>
          <w:p>
            <w:pPr>
              <w:pStyle w:val="null5"/>
              <w:jc w:val="left"/>
            </w:pPr>
            <w:r>
              <w:rPr>
                <w:rFonts w:ascii="仿宋_GB2312" w:hAnsi="仿宋_GB2312" w:cs="仿宋_GB2312" w:eastAsia="仿宋_GB2312"/>
              </w:rPr>
              <w:t>出料口模规格：Φ1×5、Φ 1×10、Φ1×20、Φ1×40（mm×mm）</w:t>
            </w:r>
          </w:p>
        </w:tc>
      </w:tr>
      <w:tr>
        <w:tc>
          <w:tcPr>
            <w:tcW w:type="dxa" w:w="2076"/>
          </w:tcPr>
          <w:p>
            <w:pPr>
              <w:pStyle w:val="null5"/>
              <w:jc w:val="left"/>
            </w:pPr>
            <w:r>
              <w:rPr>
                <w:rFonts w:ascii="仿宋_GB2312" w:hAnsi="仿宋_GB2312" w:cs="仿宋_GB2312" w:eastAsia="仿宋_GB2312"/>
              </w:rPr>
              <w:t>55</w:t>
            </w:r>
          </w:p>
        </w:tc>
        <w:tc>
          <w:tcPr>
            <w:tcW w:type="dxa" w:w="2076"/>
          </w:tcPr>
          <w:p/>
        </w:tc>
        <w:tc>
          <w:tcPr>
            <w:tcW w:type="dxa" w:w="2076"/>
          </w:tcPr>
          <w:p>
            <w:pPr>
              <w:pStyle w:val="null5"/>
              <w:jc w:val="left"/>
            </w:pPr>
            <w:r>
              <w:rPr>
                <w:rFonts w:ascii="仿宋_GB2312" w:hAnsi="仿宋_GB2312" w:cs="仿宋_GB2312" w:eastAsia="仿宋_GB2312"/>
              </w:rPr>
              <w:t>毛细管流变仪</w:t>
            </w:r>
          </w:p>
        </w:tc>
        <w:tc>
          <w:tcPr>
            <w:tcW w:type="dxa" w:w="2076"/>
          </w:tcPr>
          <w:p>
            <w:pPr>
              <w:pStyle w:val="null5"/>
              <w:jc w:val="left"/>
            </w:pPr>
            <w:r>
              <w:rPr>
                <w:rFonts w:ascii="仿宋_GB2312" w:hAnsi="仿宋_GB2312" w:cs="仿宋_GB2312" w:eastAsia="仿宋_GB2312"/>
              </w:rPr>
              <w:t>出料口模材料：碳化钨</w:t>
            </w:r>
          </w:p>
        </w:tc>
      </w:tr>
      <w:tr>
        <w:tc>
          <w:tcPr>
            <w:tcW w:type="dxa" w:w="2076"/>
          </w:tcPr>
          <w:p>
            <w:pPr>
              <w:pStyle w:val="null5"/>
              <w:jc w:val="left"/>
            </w:pPr>
            <w:r>
              <w:rPr>
                <w:rFonts w:ascii="仿宋_GB2312" w:hAnsi="仿宋_GB2312" w:cs="仿宋_GB2312" w:eastAsia="仿宋_GB2312"/>
              </w:rPr>
              <w:t>56</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毛细管流变仪</w:t>
            </w:r>
          </w:p>
        </w:tc>
        <w:tc>
          <w:tcPr>
            <w:tcW w:type="dxa" w:w="2076"/>
          </w:tcPr>
          <w:p>
            <w:pPr>
              <w:pStyle w:val="null5"/>
              <w:jc w:val="left"/>
            </w:pPr>
            <w:r>
              <w:rPr>
                <w:rFonts w:ascii="仿宋_GB2312" w:hAnsi="仿宋_GB2312" w:cs="仿宋_GB2312" w:eastAsia="仿宋_GB2312"/>
              </w:rPr>
              <w:t>通讯方式：蓝牙无线通讯</w:t>
            </w:r>
          </w:p>
        </w:tc>
      </w:tr>
      <w:tr>
        <w:tc>
          <w:tcPr>
            <w:tcW w:type="dxa" w:w="2076"/>
          </w:tcPr>
          <w:p>
            <w:pPr>
              <w:pStyle w:val="null5"/>
              <w:jc w:val="left"/>
            </w:pPr>
            <w:r>
              <w:rPr>
                <w:rFonts w:ascii="仿宋_GB2312" w:hAnsi="仿宋_GB2312" w:cs="仿宋_GB2312" w:eastAsia="仿宋_GB2312"/>
              </w:rPr>
              <w:t>57</w:t>
            </w:r>
          </w:p>
        </w:tc>
        <w:tc>
          <w:tcPr>
            <w:tcW w:type="dxa" w:w="2076"/>
          </w:tcPr>
          <w:p/>
        </w:tc>
        <w:tc>
          <w:tcPr>
            <w:tcW w:type="dxa" w:w="2076"/>
          </w:tcPr>
          <w:p>
            <w:pPr>
              <w:pStyle w:val="null5"/>
              <w:jc w:val="left"/>
            </w:pPr>
            <w:r>
              <w:rPr>
                <w:rFonts w:ascii="仿宋_GB2312" w:hAnsi="仿宋_GB2312" w:cs="仿宋_GB2312" w:eastAsia="仿宋_GB2312"/>
              </w:rPr>
              <w:t>毛细管流变仪</w:t>
            </w:r>
          </w:p>
        </w:tc>
        <w:tc>
          <w:tcPr>
            <w:tcW w:type="dxa" w:w="2076"/>
          </w:tcPr>
          <w:p>
            <w:pPr>
              <w:pStyle w:val="null5"/>
              <w:jc w:val="left"/>
            </w:pPr>
            <w:r>
              <w:rPr>
                <w:rFonts w:ascii="仿宋_GB2312" w:hAnsi="仿宋_GB2312" w:cs="仿宋_GB2312" w:eastAsia="仿宋_GB2312"/>
              </w:rPr>
              <w:t>清理残料：压头可摆出，方便清理炉膛</w:t>
            </w:r>
          </w:p>
        </w:tc>
      </w:tr>
      <w:tr>
        <w:tc>
          <w:tcPr>
            <w:tcW w:type="dxa" w:w="2076"/>
          </w:tcPr>
          <w:p>
            <w:pPr>
              <w:pStyle w:val="null5"/>
              <w:jc w:val="left"/>
            </w:pPr>
            <w:r>
              <w:rPr>
                <w:rFonts w:ascii="仿宋_GB2312" w:hAnsi="仿宋_GB2312" w:cs="仿宋_GB2312" w:eastAsia="仿宋_GB2312"/>
              </w:rPr>
              <w:t>58</w:t>
            </w:r>
          </w:p>
        </w:tc>
        <w:tc>
          <w:tcPr>
            <w:tcW w:type="dxa" w:w="2076"/>
          </w:tcPr>
          <w:p/>
        </w:tc>
        <w:tc>
          <w:tcPr>
            <w:tcW w:type="dxa" w:w="2076"/>
          </w:tcPr>
          <w:p>
            <w:pPr>
              <w:pStyle w:val="null5"/>
              <w:jc w:val="left"/>
            </w:pPr>
            <w:r>
              <w:rPr>
                <w:rFonts w:ascii="仿宋_GB2312" w:hAnsi="仿宋_GB2312" w:cs="仿宋_GB2312" w:eastAsia="仿宋_GB2312"/>
              </w:rPr>
              <w:t>毛细管流变仪</w:t>
            </w:r>
          </w:p>
        </w:tc>
        <w:tc>
          <w:tcPr>
            <w:tcW w:type="dxa" w:w="2076"/>
          </w:tcPr>
          <w:p>
            <w:pPr>
              <w:pStyle w:val="null5"/>
              <w:jc w:val="left"/>
            </w:pPr>
            <w:r>
              <w:rPr>
                <w:rFonts w:ascii="仿宋_GB2312" w:hAnsi="仿宋_GB2312" w:cs="仿宋_GB2312" w:eastAsia="仿宋_GB2312"/>
              </w:rPr>
              <w:t>电源：220V，50Hz,功率&lt;1000W</w:t>
            </w:r>
          </w:p>
        </w:tc>
      </w:tr>
      <w:tr>
        <w:tc>
          <w:tcPr>
            <w:tcW w:type="dxa" w:w="2076"/>
          </w:tcPr>
          <w:p>
            <w:pPr>
              <w:pStyle w:val="null5"/>
              <w:jc w:val="left"/>
            </w:pPr>
            <w:r>
              <w:rPr>
                <w:rFonts w:ascii="仿宋_GB2312" w:hAnsi="仿宋_GB2312" w:cs="仿宋_GB2312" w:eastAsia="仿宋_GB2312"/>
              </w:rPr>
              <w:t>59</w:t>
            </w:r>
          </w:p>
        </w:tc>
        <w:tc>
          <w:tcPr>
            <w:tcW w:type="dxa" w:w="2076"/>
          </w:tcPr>
          <w:p/>
        </w:tc>
        <w:tc>
          <w:tcPr>
            <w:tcW w:type="dxa" w:w="2076"/>
          </w:tcPr>
          <w:p>
            <w:pPr>
              <w:pStyle w:val="null5"/>
              <w:jc w:val="left"/>
            </w:pPr>
            <w:r>
              <w:rPr>
                <w:rFonts w:ascii="仿宋_GB2312" w:hAnsi="仿宋_GB2312" w:cs="仿宋_GB2312" w:eastAsia="仿宋_GB2312"/>
              </w:rPr>
              <w:t>毛细管流变仪</w:t>
            </w:r>
          </w:p>
        </w:tc>
        <w:tc>
          <w:tcPr>
            <w:tcW w:type="dxa" w:w="2076"/>
          </w:tcPr>
          <w:p>
            <w:pPr>
              <w:pStyle w:val="null5"/>
              <w:jc w:val="left"/>
            </w:pPr>
            <w:r>
              <w:rPr>
                <w:rFonts w:ascii="仿宋_GB2312" w:hAnsi="仿宋_GB2312" w:cs="仿宋_GB2312" w:eastAsia="仿宋_GB2312"/>
              </w:rPr>
              <w:t>外形尺寸：≤640×430×1700mm</w:t>
            </w:r>
          </w:p>
        </w:tc>
      </w:tr>
      <w:tr>
        <w:tc>
          <w:tcPr>
            <w:tcW w:type="dxa" w:w="2076"/>
          </w:tcPr>
          <w:p>
            <w:pPr>
              <w:pStyle w:val="null5"/>
              <w:jc w:val="left"/>
            </w:pPr>
            <w:r>
              <w:rPr>
                <w:rFonts w:ascii="仿宋_GB2312" w:hAnsi="仿宋_GB2312" w:cs="仿宋_GB2312" w:eastAsia="仿宋_GB2312"/>
              </w:rPr>
              <w:t>60</w:t>
            </w:r>
          </w:p>
        </w:tc>
        <w:tc>
          <w:tcPr>
            <w:tcW w:type="dxa" w:w="2076"/>
          </w:tcPr>
          <w:p/>
        </w:tc>
        <w:tc>
          <w:tcPr>
            <w:tcW w:type="dxa" w:w="2076"/>
          </w:tcPr>
          <w:p>
            <w:pPr>
              <w:pStyle w:val="null5"/>
              <w:jc w:val="left"/>
            </w:pPr>
            <w:r>
              <w:rPr>
                <w:rFonts w:ascii="仿宋_GB2312" w:hAnsi="仿宋_GB2312" w:cs="仿宋_GB2312" w:eastAsia="仿宋_GB2312"/>
              </w:rPr>
              <w:t>偏光显微镜</w:t>
            </w:r>
          </w:p>
        </w:tc>
        <w:tc>
          <w:tcPr>
            <w:tcW w:type="dxa" w:w="2076"/>
          </w:tcPr>
          <w:p>
            <w:pPr>
              <w:pStyle w:val="null5"/>
              <w:jc w:val="left"/>
            </w:pPr>
            <w:r>
              <w:rPr>
                <w:rFonts w:ascii="仿宋_GB2312" w:hAnsi="仿宋_GB2312" w:cs="仿宋_GB2312" w:eastAsia="仿宋_GB2312"/>
              </w:rPr>
              <w:t>数量：5台</w:t>
            </w:r>
          </w:p>
        </w:tc>
      </w:tr>
      <w:tr>
        <w:tc>
          <w:tcPr>
            <w:tcW w:type="dxa" w:w="2076"/>
          </w:tcPr>
          <w:p>
            <w:pPr>
              <w:pStyle w:val="null5"/>
              <w:jc w:val="left"/>
            </w:pPr>
            <w:r>
              <w:rPr>
                <w:rFonts w:ascii="仿宋_GB2312" w:hAnsi="仿宋_GB2312" w:cs="仿宋_GB2312" w:eastAsia="仿宋_GB2312"/>
              </w:rPr>
              <w:t>61</w:t>
            </w:r>
          </w:p>
        </w:tc>
        <w:tc>
          <w:tcPr>
            <w:tcW w:type="dxa" w:w="2076"/>
          </w:tcPr>
          <w:p/>
        </w:tc>
        <w:tc>
          <w:tcPr>
            <w:tcW w:type="dxa" w:w="2076"/>
          </w:tcPr>
          <w:p>
            <w:pPr>
              <w:pStyle w:val="null5"/>
              <w:jc w:val="left"/>
            </w:pPr>
            <w:r>
              <w:rPr>
                <w:rFonts w:ascii="仿宋_GB2312" w:hAnsi="仿宋_GB2312" w:cs="仿宋_GB2312" w:eastAsia="仿宋_GB2312"/>
              </w:rPr>
              <w:t>偏光显微镜</w:t>
            </w:r>
          </w:p>
        </w:tc>
        <w:tc>
          <w:tcPr>
            <w:tcW w:type="dxa" w:w="2076"/>
          </w:tcPr>
          <w:p>
            <w:pPr>
              <w:pStyle w:val="null5"/>
              <w:jc w:val="left"/>
            </w:pPr>
            <w:r>
              <w:rPr>
                <w:rFonts w:ascii="仿宋_GB2312" w:hAnsi="仿宋_GB2312" w:cs="仿宋_GB2312" w:eastAsia="仿宋_GB2312"/>
              </w:rPr>
              <w:t>1、放大倍数：光学倍数应包含40X-1000X 2、观察筒：转轴式三目观察筒，30°倾斜，瞳距调节范围：应包含55-75mm，视度可调 3、目镜：WF10X/Φ18mm WF10X分划目镜（0.1mm/格） 4、无应力平场消色差物镜(POL) PL 4X/0.1 工作距离:≥17.9mm、PL 10X/0.25 工作距离:≥8.80mm、PL 40X/0.65 (弹簧)工作距离:≥0.69mm、PL 100X/1.25 (弹簧,油)工作距离:≥0.33mm 5、转换器：四孔物镜转换器（中心可调） 6、调焦机构：粗微动同轴调焦机构，微动格值≤0.002mm，左调焦带锁紧装置、右调焦带限位装置 7、中间接筒：内置推拉式检偏器，可自由切换正常观察与偏光观察，检偏器360°旋转，带补偿器插孔 8、补偿器：λ补偿器、λ/4补偿器、石英锲补偿器 9、勃氏镜：推入式勃氏镜，中心可调 10、载物台：360°高精度等分刻度圆型旋转载物台，游标格值6’，中心可调，带锁紧装置，尺寸≥Φ150mm 11、起偏器：可360°旋转，有0°、90°、180°、270°四个刻线读数 12、集光镜：带视场大小调节 13、光源：≥6V/20W卤素灯，亮度可调 14、电脑摄像系统：彩色摄像机:分辨率：≥2560×1920，功耗小，USB3.0接口连接，内置专业ISP图像处理，图像画质优异，色彩还原饱满，画面稳定无噪点。支持连续采集，图像尺寸可调，具备自动/手动白平衡、增益调节、曝光时间调整功能，≥30帧高速输出，细节纹理完整清晰。 15、专业显微分析软件：支持景深合成、图像拼接；可测量点、线、圆、角度等各类几何参数，工具操作直观。支持录像、图像后期编辑，可添加文字、比例尺；多图像格式输出，配套 SDK开发包，可适配Windows及信创系统，适用于各类显微检测分析。 16、审计追踪：支持审计追踪功能：四级权限排序：超级管理员(唯一admin)＞系统管理员＞操作主管＞操作员审计追踪共有四级权限管理功能；可对用户登录信息进行跟踪和查询；具备审计追踪功能，记录相关人员操作信息；审计追踪数据的查看备份还原。</w:t>
            </w:r>
          </w:p>
        </w:tc>
      </w:tr>
      <w:tr>
        <w:tc>
          <w:tcPr>
            <w:tcW w:type="dxa" w:w="2076"/>
          </w:tcPr>
          <w:p>
            <w:pPr>
              <w:pStyle w:val="null5"/>
              <w:jc w:val="left"/>
            </w:pPr>
            <w:r>
              <w:rPr>
                <w:rFonts w:ascii="仿宋_GB2312" w:hAnsi="仿宋_GB2312" w:cs="仿宋_GB2312" w:eastAsia="仿宋_GB2312"/>
              </w:rPr>
              <w:t>62</w:t>
            </w:r>
          </w:p>
        </w:tc>
        <w:tc>
          <w:tcPr>
            <w:tcW w:type="dxa" w:w="2076"/>
          </w:tcPr>
          <w:p/>
        </w:tc>
        <w:tc>
          <w:tcPr>
            <w:tcW w:type="dxa" w:w="2076"/>
          </w:tcPr>
          <w:p>
            <w:pPr>
              <w:pStyle w:val="null5"/>
              <w:jc w:val="left"/>
            </w:pPr>
            <w:r>
              <w:rPr>
                <w:rFonts w:ascii="仿宋_GB2312" w:hAnsi="仿宋_GB2312" w:cs="仿宋_GB2312" w:eastAsia="仿宋_GB2312"/>
              </w:rPr>
              <w:t>熔融指数测定仪</w:t>
            </w:r>
          </w:p>
        </w:tc>
        <w:tc>
          <w:tcPr>
            <w:tcW w:type="dxa" w:w="2076"/>
          </w:tcPr>
          <w:p>
            <w:pPr>
              <w:pStyle w:val="null5"/>
              <w:jc w:val="left"/>
            </w:pPr>
            <w:r>
              <w:rPr>
                <w:rFonts w:ascii="仿宋_GB2312" w:hAnsi="仿宋_GB2312" w:cs="仿宋_GB2312" w:eastAsia="仿宋_GB2312"/>
              </w:rPr>
              <w:t>数量：5台</w:t>
            </w:r>
          </w:p>
        </w:tc>
      </w:tr>
      <w:tr>
        <w:tc>
          <w:tcPr>
            <w:tcW w:type="dxa" w:w="2076"/>
          </w:tcPr>
          <w:p>
            <w:pPr>
              <w:pStyle w:val="null5"/>
              <w:jc w:val="left"/>
            </w:pPr>
            <w:r>
              <w:rPr>
                <w:rFonts w:ascii="仿宋_GB2312" w:hAnsi="仿宋_GB2312" w:cs="仿宋_GB2312" w:eastAsia="仿宋_GB2312"/>
              </w:rPr>
              <w:t>63</w:t>
            </w:r>
          </w:p>
        </w:tc>
        <w:tc>
          <w:tcPr>
            <w:tcW w:type="dxa" w:w="2076"/>
          </w:tcPr>
          <w:p/>
        </w:tc>
        <w:tc>
          <w:tcPr>
            <w:tcW w:type="dxa" w:w="2076"/>
          </w:tcPr>
          <w:p>
            <w:pPr>
              <w:pStyle w:val="null5"/>
              <w:jc w:val="left"/>
            </w:pPr>
            <w:r>
              <w:rPr>
                <w:rFonts w:ascii="仿宋_GB2312" w:hAnsi="仿宋_GB2312" w:cs="仿宋_GB2312" w:eastAsia="仿宋_GB2312"/>
              </w:rPr>
              <w:t>熔融指数测定仪</w:t>
            </w:r>
          </w:p>
        </w:tc>
        <w:tc>
          <w:tcPr>
            <w:tcW w:type="dxa" w:w="2076"/>
          </w:tcPr>
          <w:p>
            <w:pPr>
              <w:pStyle w:val="null5"/>
              <w:jc w:val="left"/>
            </w:pPr>
            <w:r>
              <w:rPr>
                <w:rFonts w:ascii="仿宋_GB2312" w:hAnsi="仿宋_GB2312" w:cs="仿宋_GB2312" w:eastAsia="仿宋_GB2312"/>
              </w:rPr>
              <w:t>1、温度控制范围:应包含100~450℃ 2、温度误差:≥-0.5℃且≤0.5℃ 3、波动:≤0.5℃ 4、4h漂移:≤0.5℃ 5、温度分布:≤0.5℃ 6、分辨力:≤0.1℃ 7、测量方式：质量法 8、控制方式：单片机 彩色液品屏显示 9、砝码：0.325kg,1.2kg,2.16kg,3.8kg,5kg,10kg,12.5kg，21. 6kg 10、加载及软件：手动加载 11、加料后料筒温度恢复时间：≤4min 12、计时器：范围:0-6000S:分辨力:≤1S 13、切割装置：自动定时切割(2～1000s),任意切割。具备点动切割、手动切割功能 14、口模内径：Ф2.095±0.005mm 15、料简内径：Ф9.550±0.025mm 16、国家标准样品(PE)试验：重复精度误差≤2% 准确度误差≤5% 17、流速范围：≥0.1-200g/10min 18、电源：交流单相 220V/50Hz±10% 3A</w:t>
            </w:r>
          </w:p>
        </w:tc>
      </w:tr>
      <w:tr>
        <w:tc>
          <w:tcPr>
            <w:tcW w:type="dxa" w:w="2076"/>
          </w:tcPr>
          <w:p>
            <w:pPr>
              <w:pStyle w:val="null5"/>
              <w:jc w:val="left"/>
            </w:pPr>
            <w:r>
              <w:rPr>
                <w:rFonts w:ascii="仿宋_GB2312" w:hAnsi="仿宋_GB2312" w:cs="仿宋_GB2312" w:eastAsia="仿宋_GB2312"/>
              </w:rPr>
              <w:t>64</w:t>
            </w:r>
          </w:p>
        </w:tc>
        <w:tc>
          <w:tcPr>
            <w:tcW w:type="dxa" w:w="2076"/>
          </w:tcPr>
          <w:p/>
        </w:tc>
        <w:tc>
          <w:tcPr>
            <w:tcW w:type="dxa" w:w="2076"/>
          </w:tcPr>
          <w:p>
            <w:pPr>
              <w:pStyle w:val="null5"/>
              <w:jc w:val="left"/>
            </w:pPr>
            <w:r>
              <w:rPr>
                <w:rFonts w:ascii="仿宋_GB2312" w:hAnsi="仿宋_GB2312" w:cs="仿宋_GB2312" w:eastAsia="仿宋_GB2312"/>
              </w:rPr>
              <w:t>分析天平</w:t>
            </w:r>
          </w:p>
        </w:tc>
        <w:tc>
          <w:tcPr>
            <w:tcW w:type="dxa" w:w="2076"/>
          </w:tcPr>
          <w:p>
            <w:pPr>
              <w:pStyle w:val="null5"/>
              <w:jc w:val="left"/>
            </w:pPr>
            <w:r>
              <w:rPr>
                <w:rFonts w:ascii="仿宋_GB2312" w:hAnsi="仿宋_GB2312" w:cs="仿宋_GB2312" w:eastAsia="仿宋_GB2312"/>
              </w:rPr>
              <w:t>数量：4台</w:t>
            </w:r>
          </w:p>
        </w:tc>
      </w:tr>
      <w:tr>
        <w:tc>
          <w:tcPr>
            <w:tcW w:type="dxa" w:w="2076"/>
          </w:tcPr>
          <w:p>
            <w:pPr>
              <w:pStyle w:val="null5"/>
              <w:jc w:val="left"/>
            </w:pPr>
            <w:r>
              <w:rPr>
                <w:rFonts w:ascii="仿宋_GB2312" w:hAnsi="仿宋_GB2312" w:cs="仿宋_GB2312" w:eastAsia="仿宋_GB2312"/>
              </w:rPr>
              <w:t>65</w:t>
            </w:r>
          </w:p>
        </w:tc>
        <w:tc>
          <w:tcPr>
            <w:tcW w:type="dxa" w:w="2076"/>
          </w:tcPr>
          <w:p/>
        </w:tc>
        <w:tc>
          <w:tcPr>
            <w:tcW w:type="dxa" w:w="2076"/>
          </w:tcPr>
          <w:p>
            <w:pPr>
              <w:pStyle w:val="null5"/>
              <w:jc w:val="left"/>
            </w:pPr>
            <w:r>
              <w:rPr>
                <w:rFonts w:ascii="仿宋_GB2312" w:hAnsi="仿宋_GB2312" w:cs="仿宋_GB2312" w:eastAsia="仿宋_GB2312"/>
              </w:rPr>
              <w:t>分析天平</w:t>
            </w:r>
          </w:p>
        </w:tc>
        <w:tc>
          <w:tcPr>
            <w:tcW w:type="dxa" w:w="2076"/>
          </w:tcPr>
          <w:p>
            <w:pPr>
              <w:pStyle w:val="null5"/>
              <w:jc w:val="left"/>
            </w:pPr>
            <w:r>
              <w:rPr>
                <w:rFonts w:ascii="仿宋_GB2312" w:hAnsi="仿宋_GB2312" w:cs="仿宋_GB2312" w:eastAsia="仿宋_GB2312"/>
              </w:rPr>
              <w:t>1.单体精密质量传感器； 2.全自动智能内部校准功能； 3.可对内置砝码值进行修正； 4.实时温度补偿功能； 5.七级防震滤波可调功能； 6.LCD大界面反相显示； 7.称重稳定时间可调功能； 8.具有克、毫克、盎司等20多种可屏蔽单位； 9.开关机自动锁定当前模式； 10.内置日期、时间、温度显示可调功能； 11.便携式手提把手，后置砝码手套工具箱； 12.安装插件，PC端天平数据可直读； 13.防静电防风玻璃罩； 14.配备USB/RS232通讯端口连接外围设备； 15.下挂钩称量装置： 称量应用模式：百分比称重功能、密度称量直读功能、动物称量功能、设定物体称量计数功能、成本结算功能、上下限检重功能、毛/净/皮称量功能、峰值保持功能、累计功能； 16.量程（g):≥110； 17.可读性（mg):≤0.1； 18.重复性（mg):≥-0.1且≤0.1； 19.线性误差（mg):≥-0.2且≤0.2； 20.称盘尺寸（mm):≥φ90。</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left"/>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供货要求</w:t>
            </w:r>
          </w:p>
        </w:tc>
        <w:tc>
          <w:tcPr>
            <w:tcW w:type="dxa" w:w="4153"/>
          </w:tcPr>
          <w:p>
            <w:pPr>
              <w:pStyle w:val="null5"/>
              <w:jc w:val="left"/>
            </w:pPr>
            <w:r>
              <w:rPr>
                <w:rFonts w:ascii="仿宋_GB2312" w:hAnsi="仿宋_GB2312" w:cs="仿宋_GB2312" w:eastAsia="仿宋_GB2312"/>
              </w:rPr>
              <w:t>供应商必须严格按照采购合同所规定技术指标供货，符合规定名称、型号规格、数量或重量等。</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安装调试要求</w:t>
            </w:r>
          </w:p>
        </w:tc>
        <w:tc>
          <w:tcPr>
            <w:tcW w:type="dxa" w:w="4153"/>
          </w:tcPr>
          <w:p>
            <w:pPr>
              <w:pStyle w:val="null5"/>
              <w:jc w:val="left"/>
            </w:pPr>
            <w:r>
              <w:rPr>
                <w:rFonts w:ascii="仿宋_GB2312" w:hAnsi="仿宋_GB2312" w:cs="仿宋_GB2312" w:eastAsia="仿宋_GB2312"/>
              </w:rPr>
              <w:t>供应商负责提供设备的运输、安装、调试直至设备运行符合要求，产生费用均由供应商承担。</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包装要求</w:t>
            </w:r>
          </w:p>
        </w:tc>
        <w:tc>
          <w:tcPr>
            <w:tcW w:type="dxa" w:w="4153"/>
          </w:tcPr>
          <w:p>
            <w:pPr>
              <w:pStyle w:val="null5"/>
              <w:jc w:val="left"/>
            </w:pPr>
            <w:r>
              <w:rPr>
                <w:rFonts w:ascii="仿宋_GB2312" w:hAnsi="仿宋_GB2312" w:cs="仿宋_GB2312" w:eastAsia="仿宋_GB2312"/>
              </w:rPr>
              <w:t>提供的全部货物须采用适当的保护措施进行包装并符合相应的包装标准。同时这种包装应适于长途运输，并有良好的防潮、防震、防锈和防野蛮装卸等保护以确保货物安全运抵现场。供应商应承担由于包装不妥而引起货物锈蚀、损坏和丢失的责任；每件包装中应附有详细装箱单和质量证书。</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质量保证</w:t>
            </w:r>
          </w:p>
        </w:tc>
        <w:tc>
          <w:tcPr>
            <w:tcW w:type="dxa" w:w="4153"/>
          </w:tcPr>
          <w:p>
            <w:pPr>
              <w:pStyle w:val="null5"/>
              <w:jc w:val="left"/>
            </w:pPr>
            <w:r>
              <w:rPr>
                <w:rFonts w:ascii="仿宋_GB2312" w:hAnsi="仿宋_GB2312" w:cs="仿宋_GB2312" w:eastAsia="仿宋_GB2312"/>
              </w:rPr>
              <w:t>本项目免费质量保证期要求不低于1年。 货物是已定型上市销售的全新、原产地、原包装、手续合法完整、渠道正规的产品，完全符合合同规定质量、规格和性能的要求。如发现货物有其它潜在缺陷及供应商使用了不符合标准要求或不符合响应文件承诺的原材料、零部件、外购件，采购人有权退货或向供应商索赔。</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售后服务标准与效率要求</w:t>
            </w:r>
          </w:p>
        </w:tc>
        <w:tc>
          <w:tcPr>
            <w:tcW w:type="dxa" w:w="4153"/>
          </w:tcPr>
          <w:p>
            <w:pPr>
              <w:pStyle w:val="null5"/>
              <w:jc w:val="left"/>
            </w:pPr>
            <w:r>
              <w:rPr>
                <w:rFonts w:ascii="仿宋_GB2312" w:hAnsi="仿宋_GB2312" w:cs="仿宋_GB2312" w:eastAsia="仿宋_GB2312"/>
              </w:rPr>
              <w:t>需要有明确的售后服务方案、培训方案、售后服务机构、人员、响应处理速度承诺等。1、本次所有硬件产品均提供一年 7*24 维保服务,4小时内响应，12小时内上门维修。 2、享受终身上门维修服务，质保期内所发生的非人为产生的一切费用包括设备维修或更换、人员交通、差旅服务费等费用全部由卖方公司承担，质保期外出现故障2天内修好，质保期外维修只收取成本费。 3、设备安装调试完成后，提供不少于2天的现场培训。</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采购项目全生命周期成本要求</w:t>
            </w:r>
          </w:p>
        </w:tc>
        <w:tc>
          <w:tcPr>
            <w:tcW w:type="dxa" w:w="4153"/>
          </w:tcPr>
          <w:p>
            <w:pPr>
              <w:pStyle w:val="null5"/>
              <w:jc w:val="left"/>
            </w:pPr>
            <w:r>
              <w:rPr>
                <w:rFonts w:ascii="仿宋_GB2312" w:hAnsi="仿宋_GB2312" w:cs="仿宋_GB2312" w:eastAsia="仿宋_GB2312"/>
              </w:rPr>
              <w:t>本项目实行全生命周期成本管理，投标及履约须统筹采购、使用、运维耗材、售后、处置等全部费用，以长期综合总成本最优为原则，严禁仅以单次低价投标。 1.专用耗材 设备备正常运行维护所需更换或维修的全部耗材，包括但不限于：机械易损件、电气元件、传感部件、控制模块、传动组件、密封件等。质保期内免费更换，质保期后仅收取成本费。 2.后续服务要求 项目建成后建立全周期、常态化、标准化后续服务体系，保障设备全年稳定运行，后续服务包含免费质保服务与长期增值服务两部分。 （1）质保期内服务： 质保期内厂商提供7×24小时远程技术支持、软件免费升级、BUG无偿修复、设备故障免费检修更换、软件资源免费迭代。同时提供每年不少于2次的现场巡检，检测设备性能、设备校准、系统联调、教师操作培训服务，不收取任何技术服务费和系统升级费。 （2）质保期后长效运维服务： 质保期满后，采用年度维保模式，维修费用仅收取成本费、固定可预算。服务内容包含硬件设备维保、设备调试校准、培训等，确保设备功能不降级、教学资源不滞后、设备运行不瘫痪。 3.设备迭代与更新置换成本 因技术升级、性能提升、部件停产或设备报废等原因，对原设备进行同品牌换代或跨品牌替换。不利用技术壁垒、配件锁定或数据格式限制等方式变相捆绑。升级改造及新设备须向下兼容旧设备的核心功能及数据格式，或以合理成本实现数据迁移。避免因设备升级改造、换代形成高价成本。</w:t>
            </w:r>
          </w:p>
        </w:tc>
      </w:tr>
    </w:tbl>
    <w:p>
      <w:pPr>
        <w:pStyle w:val="null5"/>
        <w:ind w:firstLine="480"/>
        <w:jc w:val="left"/>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合同签订后30日内完成全部货物的供货、安装、调试和培训工作，且符合国家标准、行业规范和合同等相关文件的要求。</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山东石油化工学院指定地点</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合同支付约定：供应商按合同要求供货，设备安装调试完成、验收合格无质量问题及其他争议，采购人收到供应商发票后付至合同金额的95%，一年后无息付清余款。</w:t>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质量保证期：本项目免费质量保证期要求不低于1年，供应商亦可提报更长的质保期。本项目产品的质量质保期为自验收通过之日起，所有产品均需在质保期内免费上门。</w:t>
            </w:r>
          </w:p>
        </w:tc>
      </w:tr>
      <w:tr>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合同履行期限:自本项目签订合同之日起至质保期结束。</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1、本项目共两轮报价，第一轮报价为磋商前基础报价，第二轮报价为磋商后最终报价。 磋商小组与供应商分别进行磋商完成后，通过评标系统向实质性响应的供应商发起最终报价要求，要求所有供应商在规定时间（60分钟）内进行最终报价，提交最终报价的供应商不得少于3家（若供应商未在规定时间（60分钟）内提交最终报价，视为退出磋商）。 2、投标截止时间后，成功提交响应文件的供应商符合磋商文件规定数量的，代理机构将启动响应文件解密程序，解密时间为60分钟；供应商应在规定的解密时间内，使用加密响应文件的数字证书进行响应文件解密。除因平台系统故障导致供应商未按时完成解密外，供应商未在规定的解密时间内完成解密的，按无效投标处理。 3、报价相关要求：本项目报价为含税全包价，包含完成全部供货所需全部成本，采购人不再另行付其他费用；供应商仅能提供一套固定报价，不得设置多套备选报价；评审中报价经修正的，供应商须按要求电子签章确认，逾期未确认按无效响应处理；报价应客观合理，触发异常低价审查时须提供成本相关佐证材料，无法说明合理性的作无效响应处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磋商过程中可实质性变动的内容</w:t>
      </w:r>
    </w:p>
    <w:p>
      <w:pPr>
        <w:pStyle w:val="null5"/>
        <w:ind w:firstLine="480"/>
        <w:jc w:val="left"/>
      </w:pPr>
      <w:r>
        <w:rPr>
          <w:rFonts w:ascii="仿宋_GB2312" w:hAnsi="仿宋_GB2312" w:cs="仿宋_GB2312" w:eastAsia="仿宋_GB2312"/>
        </w:rPr>
        <w:t>磋商小组可以根据磋商文件和磋商情况实质性变动以下内容：</w:t>
      </w:r>
    </w:p>
    <w:p>
      <w:pPr>
        <w:pStyle w:val="null5"/>
        <w:ind w:firstLine="480"/>
        <w:jc w:val="left"/>
      </w:pPr>
      <w:r>
        <w:rPr>
          <w:rFonts w:ascii="仿宋_GB2312" w:hAnsi="仿宋_GB2312" w:cs="仿宋_GB2312" w:eastAsia="仿宋_GB2312"/>
        </w:rPr>
        <w:t>一、第三章“技术、服务及其他要求”中“3.2.技术要求”，“3.3.服务要求 ”：</w:t>
      </w:r>
    </w:p>
    <w:p>
      <w:pPr>
        <w:pStyle w:val="null5"/>
        <w:ind w:firstLine="480"/>
        <w:jc w:val="left"/>
      </w:pPr>
      <w:r>
        <w:rPr>
          <w:rFonts w:ascii="仿宋_GB2312" w:hAnsi="仿宋_GB2312" w:cs="仿宋_GB2312" w:eastAsia="仿宋_GB2312"/>
          <w:sz w:val="21"/>
        </w:rPr>
        <w:t>详见第三章</w:t>
      </w:r>
      <w:r>
        <w:rPr>
          <w:rFonts w:ascii="仿宋_GB2312" w:hAnsi="仿宋_GB2312" w:cs="仿宋_GB2312" w:eastAsia="仿宋_GB2312"/>
          <w:sz w:val="21"/>
        </w:rPr>
        <w:t>“技术、服务及其他要求”中“</w:t>
      </w:r>
      <w:r>
        <w:rPr>
          <w:rFonts w:ascii="仿宋_GB2312" w:hAnsi="仿宋_GB2312" w:cs="仿宋_GB2312" w:eastAsia="仿宋_GB2312"/>
          <w:sz w:val="21"/>
        </w:rPr>
        <w:t>3.2.</w:t>
      </w:r>
      <w:r>
        <w:rPr>
          <w:rFonts w:ascii="仿宋_GB2312" w:hAnsi="仿宋_GB2312" w:cs="仿宋_GB2312" w:eastAsia="仿宋_GB2312"/>
          <w:sz w:val="21"/>
        </w:rPr>
        <w:t>技术要求”，“</w:t>
      </w:r>
      <w:r>
        <w:rPr>
          <w:rFonts w:ascii="仿宋_GB2312" w:hAnsi="仿宋_GB2312" w:cs="仿宋_GB2312" w:eastAsia="仿宋_GB2312"/>
          <w:sz w:val="21"/>
        </w:rPr>
        <w:t>3.3.</w:t>
      </w:r>
      <w:r>
        <w:rPr>
          <w:rFonts w:ascii="仿宋_GB2312" w:hAnsi="仿宋_GB2312" w:cs="仿宋_GB2312" w:eastAsia="仿宋_GB2312"/>
          <w:sz w:val="21"/>
        </w:rPr>
        <w:t>服务要求 ”非带“★”实质性要求。</w:t>
      </w:r>
    </w:p>
    <w:p>
      <w:pPr>
        <w:pStyle w:val="null5"/>
        <w:ind w:firstLine="480"/>
        <w:jc w:val="left"/>
      </w:pPr>
      <w:r>
        <w:rPr>
          <w:rFonts w:ascii="仿宋_GB2312" w:hAnsi="仿宋_GB2312" w:cs="仿宋_GB2312" w:eastAsia="仿宋_GB2312"/>
        </w:rPr>
        <w:t>二、第七章“拟签订采购合同文本”：</w:t>
      </w:r>
    </w:p>
    <w:p>
      <w:pPr>
        <w:pStyle w:val="null5"/>
        <w:ind w:firstLine="480"/>
        <w:jc w:val="left"/>
      </w:pPr>
      <w:r>
        <w:rPr>
          <w:rFonts w:ascii="仿宋_GB2312" w:hAnsi="仿宋_GB2312" w:cs="仿宋_GB2312" w:eastAsia="仿宋_GB2312"/>
          <w:sz w:val="21"/>
        </w:rPr>
        <w:t>详见第七章</w:t>
      </w:r>
      <w:r>
        <w:rPr>
          <w:rFonts w:ascii="仿宋_GB2312" w:hAnsi="仿宋_GB2312" w:cs="仿宋_GB2312" w:eastAsia="仿宋_GB2312"/>
          <w:sz w:val="21"/>
        </w:rPr>
        <w:t>“拟签订采购合同文本”。</w:t>
      </w:r>
    </w:p>
    <w:p>
      <w:pPr>
        <w:pStyle w:val="null5"/>
        <w:ind w:firstLine="480"/>
        <w:jc w:val="left"/>
      </w:pPr>
      <w:r>
        <w:rPr>
          <w:rFonts w:ascii="仿宋_GB2312" w:hAnsi="仿宋_GB2312" w:cs="仿宋_GB2312" w:eastAsia="仿宋_GB2312"/>
        </w:rPr>
        <w:t>除以上内容外，磋商小组不得变动磋商文件中的其他内容。</w:t>
      </w:r>
    </w:p>
    <w:p>
      <w:pPr>
        <w:pStyle w:val="null5"/>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left"/>
      </w:pPr>
      <w:r>
        <w:rPr>
          <w:rFonts w:ascii="仿宋_GB2312" w:hAnsi="仿宋_GB2312" w:cs="仿宋_GB2312" w:eastAsia="仿宋_GB2312"/>
        </w:rPr>
        <w:t>一、根据《中华人民共和国政府采购法》《中华人民共和国政府采购法实施条例》等法律制度规定， 结合本采购项目特点制定本次竞争性磋商评审办法。</w:t>
      </w:r>
    </w:p>
    <w:p>
      <w:pPr>
        <w:pStyle w:val="null5"/>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5"/>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5"/>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5"/>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5"/>
        <w:ind w:firstLine="480"/>
        <w:jc w:val="left"/>
        <w:outlineLvl w:val="2"/>
      </w:pPr>
      <w:r>
        <w:rPr>
          <w:rFonts w:ascii="仿宋_GB2312" w:hAnsi="仿宋_GB2312" w:cs="仿宋_GB2312" w:eastAsia="仿宋_GB2312"/>
          <w:sz w:val="28"/>
          <w:b/>
        </w:rPr>
        <w:t>5.2.磋商小组</w:t>
      </w:r>
    </w:p>
    <w:p>
      <w:pPr>
        <w:pStyle w:val="null5"/>
        <w:ind w:firstLine="480"/>
        <w:jc w:val="left"/>
      </w:pPr>
      <w:r>
        <w:rPr>
          <w:rFonts w:ascii="仿宋_GB2312" w:hAnsi="仿宋_GB2312" w:cs="仿宋_GB2312" w:eastAsia="仿宋_GB2312"/>
        </w:rPr>
        <w:t>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5"/>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5"/>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5"/>
        <w:ind w:firstLine="480"/>
        <w:jc w:val="left"/>
      </w:pPr>
      <w:r>
        <w:rPr>
          <w:rFonts w:ascii="仿宋_GB2312" w:hAnsi="仿宋_GB2312" w:cs="仿宋_GB2312" w:eastAsia="仿宋_GB2312"/>
        </w:rPr>
        <w:t>四、磋商小组应当履行下列职责：</w:t>
      </w:r>
    </w:p>
    <w:p>
      <w:pPr>
        <w:pStyle w:val="null5"/>
        <w:ind w:firstLine="480"/>
        <w:jc w:val="left"/>
      </w:pPr>
      <w:r>
        <w:rPr>
          <w:rFonts w:ascii="仿宋_GB2312" w:hAnsi="仿宋_GB2312" w:cs="仿宋_GB2312" w:eastAsia="仿宋_GB2312"/>
        </w:rPr>
        <w:t>（一）熟悉和理解磋商文件；</w:t>
      </w:r>
    </w:p>
    <w:p>
      <w:pPr>
        <w:pStyle w:val="null5"/>
        <w:ind w:firstLine="480"/>
        <w:jc w:val="left"/>
      </w:pPr>
      <w:r>
        <w:rPr>
          <w:rFonts w:ascii="仿宋_GB2312" w:hAnsi="仿宋_GB2312" w:cs="仿宋_GB2312" w:eastAsia="仿宋_GB2312"/>
        </w:rPr>
        <w:t>（二）审查、评价供应商响应文件等是否满足磋商文件要求；</w:t>
      </w:r>
    </w:p>
    <w:p>
      <w:pPr>
        <w:pStyle w:val="null5"/>
        <w:ind w:firstLine="480"/>
        <w:jc w:val="left"/>
      </w:pPr>
      <w:r>
        <w:rPr>
          <w:rFonts w:ascii="仿宋_GB2312" w:hAnsi="仿宋_GB2312" w:cs="仿宋_GB2312" w:eastAsia="仿宋_GB2312"/>
        </w:rPr>
        <w:t>（三）对响应文件进行比较和评价；</w:t>
      </w:r>
    </w:p>
    <w:p>
      <w:pPr>
        <w:pStyle w:val="null5"/>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5"/>
        <w:ind w:firstLine="480"/>
        <w:jc w:val="left"/>
      </w:pPr>
      <w:r>
        <w:rPr>
          <w:rFonts w:ascii="仿宋_GB2312" w:hAnsi="仿宋_GB2312" w:cs="仿宋_GB2312" w:eastAsia="仿宋_GB2312"/>
        </w:rPr>
        <w:t>（五）推荐成交候选供应商，或者受采购人委托确定成交供应商；</w:t>
      </w:r>
    </w:p>
    <w:p>
      <w:pPr>
        <w:pStyle w:val="null5"/>
        <w:ind w:firstLine="480"/>
        <w:jc w:val="left"/>
      </w:pPr>
      <w:r>
        <w:rPr>
          <w:rFonts w:ascii="仿宋_GB2312" w:hAnsi="仿宋_GB2312" w:cs="仿宋_GB2312" w:eastAsia="仿宋_GB2312"/>
        </w:rPr>
        <w:t>（六）起草资格审查报告、磋商报告并进行签署；</w:t>
      </w:r>
    </w:p>
    <w:p>
      <w:pPr>
        <w:pStyle w:val="null5"/>
        <w:ind w:firstLine="480"/>
        <w:jc w:val="left"/>
      </w:pPr>
      <w:r>
        <w:rPr>
          <w:rFonts w:ascii="仿宋_GB2312" w:hAnsi="仿宋_GB2312" w:cs="仿宋_GB2312" w:eastAsia="仿宋_GB2312"/>
        </w:rPr>
        <w:t>（七）向采购人、代理机构或者有关部门报告磋商中发现的违法行为；</w:t>
      </w:r>
    </w:p>
    <w:p>
      <w:pPr>
        <w:pStyle w:val="null5"/>
        <w:ind w:firstLine="480"/>
        <w:jc w:val="left"/>
      </w:pPr>
      <w:r>
        <w:rPr>
          <w:rFonts w:ascii="仿宋_GB2312" w:hAnsi="仿宋_GB2312" w:cs="仿宋_GB2312" w:eastAsia="仿宋_GB2312"/>
        </w:rPr>
        <w:t>（八）按规定告知供应商，未实质性响应磋商文件的响应文件按无效响应处理；</w:t>
      </w:r>
    </w:p>
    <w:p>
      <w:pPr>
        <w:pStyle w:val="null5"/>
        <w:ind w:firstLine="480"/>
        <w:jc w:val="left"/>
      </w:pPr>
      <w:r>
        <w:rPr>
          <w:rFonts w:ascii="仿宋_GB2312" w:hAnsi="仿宋_GB2312" w:cs="仿宋_GB2312" w:eastAsia="仿宋_GB2312"/>
        </w:rPr>
        <w:t>（九）法律、法规和规章规定的其他职责。</w:t>
      </w:r>
    </w:p>
    <w:p>
      <w:pPr>
        <w:pStyle w:val="null5"/>
        <w:ind w:firstLine="480"/>
        <w:jc w:val="left"/>
        <w:outlineLvl w:val="2"/>
      </w:pPr>
      <w:r>
        <w:rPr>
          <w:rFonts w:ascii="仿宋_GB2312" w:hAnsi="仿宋_GB2312" w:cs="仿宋_GB2312" w:eastAsia="仿宋_GB2312"/>
          <w:sz w:val="28"/>
          <w:b/>
        </w:rPr>
        <w:t>5.3.评审程序</w:t>
      </w:r>
    </w:p>
    <w:p>
      <w:pPr>
        <w:pStyle w:val="null5"/>
        <w:ind w:firstLine="480"/>
        <w:jc w:val="left"/>
      </w:pPr>
      <w:r>
        <w:rPr>
          <w:rFonts w:ascii="仿宋_GB2312" w:hAnsi="仿宋_GB2312" w:cs="仿宋_GB2312" w:eastAsia="仿宋_GB2312"/>
        </w:rPr>
        <w:t>5.3.1.熟悉和理解磋商文件</w:t>
      </w:r>
    </w:p>
    <w:p>
      <w:pPr>
        <w:pStyle w:val="null5"/>
        <w:ind w:firstLine="480"/>
        <w:jc w:val="both"/>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5"/>
        <w:ind w:firstLine="480"/>
        <w:jc w:val="left"/>
      </w:pPr>
      <w:r>
        <w:rPr>
          <w:rFonts w:ascii="仿宋_GB2312" w:hAnsi="仿宋_GB2312" w:cs="仿宋_GB2312" w:eastAsia="仿宋_GB2312"/>
        </w:rPr>
        <w:t>5.3.2.停止评审的情形</w:t>
      </w:r>
    </w:p>
    <w:p>
      <w:pPr>
        <w:pStyle w:val="null5"/>
        <w:ind w:firstLine="480"/>
        <w:jc w:val="left"/>
      </w:pPr>
      <w:r>
        <w:rPr>
          <w:rFonts w:ascii="仿宋_GB2312" w:hAnsi="仿宋_GB2312" w:cs="仿宋_GB2312" w:eastAsia="仿宋_GB2312"/>
        </w:rPr>
        <w:t>本磋商文件有下列情形之一的，磋商小组应当停止评审：</w:t>
      </w:r>
    </w:p>
    <w:p>
      <w:pPr>
        <w:pStyle w:val="null5"/>
        <w:ind w:firstLine="480"/>
        <w:jc w:val="left"/>
      </w:pPr>
      <w:r>
        <w:rPr>
          <w:rFonts w:ascii="仿宋_GB2312" w:hAnsi="仿宋_GB2312" w:cs="仿宋_GB2312" w:eastAsia="仿宋_GB2312"/>
        </w:rPr>
        <w:t>一、磋商文件的规定存在歧义、重大缺陷，导致评审工作无法进行的；</w:t>
      </w:r>
    </w:p>
    <w:p>
      <w:pPr>
        <w:pStyle w:val="null5"/>
        <w:ind w:firstLine="480"/>
        <w:jc w:val="left"/>
      </w:pPr>
      <w:r>
        <w:rPr>
          <w:rFonts w:ascii="仿宋_GB2312" w:hAnsi="仿宋_GB2312" w:cs="仿宋_GB2312" w:eastAsia="仿宋_GB2312"/>
        </w:rPr>
        <w:t>二、磋商文件明显以不合理条件对供应商实行差别待遇或者歧视待遇的；</w:t>
      </w:r>
    </w:p>
    <w:p>
      <w:pPr>
        <w:pStyle w:val="null5"/>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5"/>
        <w:ind w:firstLine="480"/>
        <w:jc w:val="left"/>
      </w:pPr>
      <w:r>
        <w:rPr>
          <w:rFonts w:ascii="仿宋_GB2312" w:hAnsi="仿宋_GB2312" w:cs="仿宋_GB2312" w:eastAsia="仿宋_GB2312"/>
        </w:rPr>
        <w:t>四、采购项目属于政府采购促进中小企业发展的范围，但是竞争性磋商文件未依法体现促进中小企业发展相关规定的；</w:t>
      </w:r>
    </w:p>
    <w:p>
      <w:pPr>
        <w:pStyle w:val="null5"/>
        <w:ind w:firstLine="480"/>
        <w:jc w:val="left"/>
      </w:pPr>
      <w:r>
        <w:rPr>
          <w:rFonts w:ascii="仿宋_GB2312" w:hAnsi="仿宋_GB2312" w:cs="仿宋_GB2312" w:eastAsia="仿宋_GB2312"/>
        </w:rPr>
        <w:t>五、磋商文件将供应商的资格条件列为评分因素的；</w:t>
      </w:r>
    </w:p>
    <w:p>
      <w:pPr>
        <w:pStyle w:val="null5"/>
        <w:ind w:firstLine="480"/>
        <w:jc w:val="left"/>
      </w:pPr>
      <w:r>
        <w:rPr>
          <w:rFonts w:ascii="仿宋_GB2312" w:hAnsi="仿宋_GB2312" w:cs="仿宋_GB2312" w:eastAsia="仿宋_GB2312"/>
        </w:rPr>
        <w:t>六、磋商文件载明的成交原则不合法的；</w:t>
      </w:r>
    </w:p>
    <w:p>
      <w:pPr>
        <w:pStyle w:val="null5"/>
        <w:ind w:firstLine="480"/>
        <w:jc w:val="left"/>
      </w:pPr>
      <w:r>
        <w:rPr>
          <w:rFonts w:ascii="仿宋_GB2312" w:hAnsi="仿宋_GB2312" w:cs="仿宋_GB2312" w:eastAsia="仿宋_GB2312"/>
        </w:rPr>
        <w:t>七、磋商文件有违反国家其他有关强制性规定的情形。</w:t>
      </w:r>
    </w:p>
    <w:p>
      <w:pPr>
        <w:pStyle w:val="null5"/>
        <w:ind w:firstLine="480"/>
        <w:jc w:val="both"/>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5"/>
        <w:ind w:firstLine="480"/>
        <w:jc w:val="both"/>
      </w:pPr>
      <w:r>
        <w:rPr>
          <w:rFonts w:ascii="仿宋_GB2312" w:hAnsi="仿宋_GB2312" w:cs="仿宋_GB2312" w:eastAsia="仿宋_GB2312"/>
        </w:rPr>
        <w:t>出现上述应当停止评审情形的，代理机构应当将停止评审的情形和具体原因通过交易系统告知参加采购活动的供应商，并在“中国山东政府采购网”公告。采购人、代理机构认为磋商小组不应当停止评审的，可以书面报告采购项目同级财政部门依法处理，并提供相关证明材料。</w:t>
      </w:r>
    </w:p>
    <w:p>
      <w:pPr>
        <w:pStyle w:val="null5"/>
        <w:ind w:firstLine="480"/>
        <w:jc w:val="left"/>
      </w:pPr>
      <w:r>
        <w:rPr>
          <w:rFonts w:ascii="仿宋_GB2312" w:hAnsi="仿宋_GB2312" w:cs="仿宋_GB2312" w:eastAsia="仿宋_GB2312"/>
        </w:rPr>
        <w:t>5.3.3.资格审查</w:t>
      </w:r>
    </w:p>
    <w:p>
      <w:pPr>
        <w:pStyle w:val="null5"/>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5"/>
        <w:ind w:firstLine="480"/>
        <w:jc w:val="left"/>
      </w:pPr>
      <w:r>
        <w:rPr>
          <w:rFonts w:ascii="仿宋_GB2312" w:hAnsi="仿宋_GB2312" w:cs="仿宋_GB2312" w:eastAsia="仿宋_GB2312"/>
        </w:rPr>
        <w:t>5.3.3.1.一般资格审查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供应商具有独立承担民事责任的能力</w:t>
            </w:r>
          </w:p>
        </w:tc>
        <w:tc>
          <w:tcPr>
            <w:tcW w:type="dxa" w:w="3322"/>
          </w:tcPr>
          <w:p>
            <w:pPr>
              <w:pStyle w:val="null5"/>
              <w:jc w:val="left"/>
            </w:pPr>
            <w:r>
              <w:rPr>
                <w:rFonts w:ascii="仿宋_GB2312" w:hAnsi="仿宋_GB2312" w:cs="仿宋_GB2312" w:eastAsia="仿宋_GB2312"/>
              </w:rPr>
              <w:t>提供有效的营业执照或者事业单位法人证书或者民办非企业单位、社会团体法人等的登记证书等证明文件或者自然人的身份证明（自然人身份证明仅在自然人作为投标主体时适用）。（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供应商具有良好的商业信誉和健全的财务会计制度</w:t>
            </w:r>
          </w:p>
        </w:tc>
        <w:tc>
          <w:tcPr>
            <w:tcW w:type="dxa" w:w="3322"/>
          </w:tcPr>
          <w:p>
            <w:pPr>
              <w:pStyle w:val="null5"/>
              <w:jc w:val="left"/>
            </w:pPr>
            <w:r>
              <w:rPr>
                <w:rFonts w:ascii="仿宋_GB2312" w:hAnsi="仿宋_GB2312" w:cs="仿宋_GB2312" w:eastAsia="仿宋_GB2312"/>
              </w:rPr>
              <w:t>提供2025年度由有法定资格的中介机构出具的财务审计报告。供应商未提供财务审计报告的，应当提供基本开户银行出具的资信证明。中小企业可提供财政部门认可的政府采购专业担保机构出具的投标担保函。（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供应商具有履行合同所必需的设备和专业技术能力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供应商具有依法缴纳税收和社会保障资金的良好记录</w:t>
            </w:r>
          </w:p>
        </w:tc>
        <w:tc>
          <w:tcPr>
            <w:tcW w:type="dxa" w:w="3322"/>
          </w:tcPr>
          <w:p>
            <w:pPr>
              <w:pStyle w:val="null5"/>
              <w:jc w:val="left"/>
            </w:pPr>
            <w:r>
              <w:rPr>
                <w:rFonts w:ascii="仿宋_GB2312" w:hAnsi="仿宋_GB2312" w:cs="仿宋_GB2312" w:eastAsia="仿宋_GB2312"/>
              </w:rPr>
              <w:t>（1）提供依法缴纳近半年内任意一个月税收的凭据（或纳税申报）或依法缴纳税收和社会保障资金承诺函；（2）提供依法缴纳近半年内任意一个月社会保险的凭据或依法缴纳税收和社会保障资金承诺函；（3）依法免税或不需要缴纳社会保险的供应商，应提供相应文件证明其依法免税或不需要缴纳社会保险。注：（1）在山东省境内注册的供应商参与本项目，且可通过“中国山东政府采购网”查询缴纳税收和社会保障资金信息的，可在响应文件中提供《依法缴纳税收和社会保障资金承诺函》。供应商可登录“中国山东政府采购网”(www.ccgp-shandong.gov.cn)，在“开评标管理”栏目中查询本单位在山东省缴纳税收和社会保障资金的情况。（2）以下情形不适用提供《依法缴纳税收和社会保障资金承诺函》，应按照竞争性磋商文件要求提供相关证明材料。①供应商登录“中国山东政府采购网”查询缴纳税收和社会保障资金信息反馈无相关信息的。②依法免税或不需要缴纳社会保障资金的。③未在山东省内缴纳税收和社会保障资金的供应商。④其他不适用依法缴纳税收和社会保障资金承诺制的情形。（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供应商参加政府采购活动前三年内，在经营活动中没有重大违法记录</w:t>
            </w:r>
          </w:p>
        </w:tc>
        <w:tc>
          <w:tcPr>
            <w:tcW w:type="dxa" w:w="3322"/>
          </w:tcPr>
          <w:p>
            <w:pPr>
              <w:pStyle w:val="null5"/>
              <w:jc w:val="left"/>
            </w:pPr>
            <w:r>
              <w:rPr>
                <w:rFonts w:ascii="仿宋_GB2312" w:hAnsi="仿宋_GB2312" w:cs="仿宋_GB2312" w:eastAsia="仿宋_GB2312"/>
              </w:rPr>
              <w:t>参加本次政府采购活动前近三年内在经营活动中没有重大违法记录的书面声明函。（提供原件扫描件或复印件加盖公章）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供应商无不良信用记录</w:t>
            </w:r>
          </w:p>
        </w:tc>
        <w:tc>
          <w:tcPr>
            <w:tcW w:type="dxa" w:w="3322"/>
          </w:tcPr>
          <w:p>
            <w:pPr>
              <w:pStyle w:val="null5"/>
              <w:jc w:val="left"/>
            </w:pPr>
            <w:r>
              <w:rPr>
                <w:rFonts w:ascii="仿宋_GB2312" w:hAnsi="仿宋_GB2312" w:cs="仿宋_GB2312" w:eastAsia="仿宋_GB2312"/>
              </w:rPr>
              <w:t>未被列入信用中国网站（www.creditchina.gov.cn）、中国政府采购网（www.ccgp.gov.cn）渠道信用记录失信被执行人、重大税收违法案件当事人名单、政府采购严重违法失信行为记录名单。本项由采购代理机构现场核查。</w:t>
            </w:r>
          </w:p>
        </w:tc>
        <w:tc>
          <w:tcPr>
            <w:tcW w:type="dxa" w:w="1661"/>
          </w:tcPr>
          <w:p>
            <w:pPr>
              <w:pStyle w:val="null5"/>
              <w:jc w:val="left"/>
            </w:pPr>
            <w:r>
              <w:rPr>
                <w:rFonts w:ascii="仿宋_GB2312" w:hAnsi="仿宋_GB2312" w:cs="仿宋_GB2312" w:eastAsia="仿宋_GB2312"/>
              </w:rPr>
              <w:t>资格证明文件</w:t>
            </w:r>
          </w:p>
        </w:tc>
      </w:tr>
    </w:tbl>
    <w:p>
      <w:pPr>
        <w:pStyle w:val="null5"/>
        <w:ind w:firstLine="480"/>
        <w:jc w:val="left"/>
      </w:pPr>
      <w:r>
        <w:rPr>
          <w:rFonts w:ascii="仿宋_GB2312" w:hAnsi="仿宋_GB2312" w:cs="仿宋_GB2312" w:eastAsia="仿宋_GB2312"/>
        </w:rPr>
        <w:t>5.3.3.2.落实政府采购政策资格审查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5.3.3.3.特定资格审查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5.3.4.符合性审查</w:t>
      </w:r>
    </w:p>
    <w:p>
      <w:pPr>
        <w:pStyle w:val="null5"/>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5"/>
        <w:ind w:firstLine="480"/>
        <w:jc w:val="both"/>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5"/>
        <w:ind w:firstLine="480"/>
        <w:jc w:val="left"/>
      </w:pPr>
      <w:r>
        <w:rPr>
          <w:rFonts w:ascii="仿宋_GB2312" w:hAnsi="仿宋_GB2312" w:cs="仿宋_GB2312" w:eastAsia="仿宋_GB2312"/>
        </w:rPr>
        <w:t>符合性审查标准见下表：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是否按采购文件规定要求签署、盖章</w:t>
            </w:r>
          </w:p>
        </w:tc>
        <w:tc>
          <w:tcPr>
            <w:tcW w:type="dxa" w:w="3322"/>
          </w:tcPr>
          <w:p>
            <w:pPr>
              <w:pStyle w:val="null5"/>
              <w:jc w:val="left"/>
            </w:pPr>
            <w:r>
              <w:rPr>
                <w:rFonts w:ascii="仿宋_GB2312" w:hAnsi="仿宋_GB2312" w:cs="仿宋_GB2312" w:eastAsia="仿宋_GB2312"/>
              </w:rPr>
              <w:t>按采购文件规定要求签署、盖章</w:t>
            </w:r>
          </w:p>
        </w:tc>
        <w:tc>
          <w:tcPr>
            <w:tcW w:type="dxa" w:w="1661"/>
          </w:tcPr>
          <w:p>
            <w:pPr>
              <w:pStyle w:val="null5"/>
              <w:jc w:val="left"/>
            </w:pPr>
            <w:r>
              <w:rPr>
                <w:rFonts w:ascii="仿宋_GB2312" w:hAnsi="仿宋_GB2312" w:cs="仿宋_GB2312" w:eastAsia="仿宋_GB2312"/>
              </w:rPr>
              <w:t>资格证明文件、技术偏离表、商务偏离表、投标（响应）报价明细表、开标（报价）一览表、封面、响应函、不参与串通投标承诺书、法定代表人身份证明、法定代表人授权委托书</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带“★”号部分任意一款是否满足要求</w:t>
            </w:r>
          </w:p>
        </w:tc>
        <w:tc>
          <w:tcPr>
            <w:tcW w:type="dxa" w:w="3322"/>
          </w:tcPr>
          <w:p>
            <w:pPr>
              <w:pStyle w:val="null5"/>
              <w:jc w:val="left"/>
            </w:pPr>
            <w:r>
              <w:rPr>
                <w:rFonts w:ascii="仿宋_GB2312" w:hAnsi="仿宋_GB2312" w:cs="仿宋_GB2312" w:eastAsia="仿宋_GB2312"/>
              </w:rPr>
              <w:t>带“★”号部分任意一款满足要求</w:t>
            </w:r>
          </w:p>
        </w:tc>
        <w:tc>
          <w:tcPr>
            <w:tcW w:type="dxa" w:w="1661"/>
          </w:tcPr>
          <w:p>
            <w:pPr>
              <w:pStyle w:val="null5"/>
              <w:jc w:val="left"/>
            </w:pPr>
            <w:r>
              <w:rPr>
                <w:rFonts w:ascii="仿宋_GB2312" w:hAnsi="仿宋_GB2312" w:cs="仿宋_GB2312" w:eastAsia="仿宋_GB2312"/>
              </w:rPr>
              <w:t>技术偏离表、商务偏离表</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报价有效期是否满足磋商文件要求</w:t>
            </w:r>
          </w:p>
        </w:tc>
        <w:tc>
          <w:tcPr>
            <w:tcW w:type="dxa" w:w="3322"/>
          </w:tcPr>
          <w:p>
            <w:pPr>
              <w:pStyle w:val="null5"/>
              <w:jc w:val="left"/>
            </w:pPr>
            <w:r>
              <w:rPr>
                <w:rFonts w:ascii="仿宋_GB2312" w:hAnsi="仿宋_GB2312" w:cs="仿宋_GB2312" w:eastAsia="仿宋_GB2312"/>
              </w:rPr>
              <w:t>报价有效期满足磋商文件要求</w:t>
            </w:r>
          </w:p>
        </w:tc>
        <w:tc>
          <w:tcPr>
            <w:tcW w:type="dxa" w:w="1661"/>
          </w:tcPr>
          <w:p>
            <w:pPr>
              <w:pStyle w:val="null5"/>
              <w:jc w:val="left"/>
            </w:pPr>
            <w:r>
              <w:rPr>
                <w:rFonts w:ascii="仿宋_GB2312" w:hAnsi="仿宋_GB2312" w:cs="仿宋_GB2312" w:eastAsia="仿宋_GB2312"/>
              </w:rPr>
              <w:t>响应函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报价是否超过磋商文件中规定的预算金额或者最高限价的</w:t>
            </w:r>
          </w:p>
        </w:tc>
        <w:tc>
          <w:tcPr>
            <w:tcW w:type="dxa" w:w="3322"/>
          </w:tcPr>
          <w:p>
            <w:pPr>
              <w:pStyle w:val="null5"/>
              <w:jc w:val="left"/>
            </w:pPr>
            <w:r>
              <w:rPr>
                <w:rFonts w:ascii="仿宋_GB2312" w:hAnsi="仿宋_GB2312" w:cs="仿宋_GB2312" w:eastAsia="仿宋_GB2312"/>
              </w:rPr>
              <w:t>报价未超过磋商文件中规定的预算金额或者最高限价的</w:t>
            </w:r>
          </w:p>
        </w:tc>
        <w:tc>
          <w:tcPr>
            <w:tcW w:type="dxa" w:w="1661"/>
          </w:tcPr>
          <w:p>
            <w:pPr>
              <w:pStyle w:val="null5"/>
              <w:jc w:val="left"/>
            </w:pPr>
            <w:r>
              <w:rPr>
                <w:rFonts w:ascii="仿宋_GB2312" w:hAnsi="仿宋_GB2312" w:cs="仿宋_GB2312" w:eastAsia="仿宋_GB2312"/>
              </w:rPr>
              <w:t>投标（响应）报价明细表、开标（报价）一览表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是否按照磋商文件规定报价、是否存在拒绝报价、多个报价、选择性报价、附有条件的报价或者拒绝修正报价的</w:t>
            </w:r>
          </w:p>
        </w:tc>
        <w:tc>
          <w:tcPr>
            <w:tcW w:type="dxa" w:w="3322"/>
          </w:tcPr>
          <w:p>
            <w:pPr>
              <w:pStyle w:val="null5"/>
              <w:jc w:val="left"/>
            </w:pPr>
            <w:r>
              <w:rPr>
                <w:rFonts w:ascii="仿宋_GB2312" w:hAnsi="仿宋_GB2312" w:cs="仿宋_GB2312" w:eastAsia="仿宋_GB2312"/>
              </w:rPr>
              <w:t>按照磋商文件规定报价、不存在拒绝报价、多个报价、选择性报价、附有条件的报价或者拒绝修正报价的</w:t>
            </w:r>
          </w:p>
        </w:tc>
        <w:tc>
          <w:tcPr>
            <w:tcW w:type="dxa" w:w="1661"/>
          </w:tcPr>
          <w:p>
            <w:pPr>
              <w:pStyle w:val="null5"/>
              <w:jc w:val="left"/>
            </w:pPr>
            <w:r>
              <w:rPr>
                <w:rFonts w:ascii="仿宋_GB2312" w:hAnsi="仿宋_GB2312" w:cs="仿宋_GB2312" w:eastAsia="仿宋_GB2312"/>
              </w:rPr>
              <w:t>投标（响应）报价明细表、开标（报价）一览表</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响应函、不参与串通投标承诺书、法定代表人身份证明、法定代表人授权委托书（委托代理人的须提供）、投标（响应）报价明细表、开标（报价）一览表、商务偏离表、技术偏离表、产品均为原厂正品承诺函</w:t>
            </w:r>
          </w:p>
        </w:tc>
        <w:tc>
          <w:tcPr>
            <w:tcW w:type="dxa" w:w="1661"/>
          </w:tcPr>
          <w:p>
            <w:pPr>
              <w:pStyle w:val="null5"/>
              <w:jc w:val="left"/>
            </w:pPr>
            <w:r>
              <w:rPr>
                <w:rFonts w:ascii="仿宋_GB2312" w:hAnsi="仿宋_GB2312" w:cs="仿宋_GB2312" w:eastAsia="仿宋_GB2312"/>
              </w:rPr>
              <w:t>技术偏离表、投标（响应）报价明细表、开标（报价）一览表、商务偏离表、产品均为原厂正品承诺函、响应函、不参与串通投标承诺书、法定代表人身份证明、法定代表人授权委托书</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是否属于串通投标，或者依法被视为串通投标</w:t>
            </w:r>
          </w:p>
        </w:tc>
        <w:tc>
          <w:tcPr>
            <w:tcW w:type="dxa" w:w="3322"/>
          </w:tcPr>
          <w:p>
            <w:pPr>
              <w:pStyle w:val="null5"/>
              <w:jc w:val="left"/>
            </w:pPr>
            <w:r>
              <w:rPr>
                <w:rFonts w:ascii="仿宋_GB2312" w:hAnsi="仿宋_GB2312" w:cs="仿宋_GB2312" w:eastAsia="仿宋_GB2312"/>
              </w:rPr>
              <w:t>不属于串通投标，或者依法被视为串通投标</w:t>
            </w:r>
          </w:p>
        </w:tc>
        <w:tc>
          <w:tcPr>
            <w:tcW w:type="dxa" w:w="1661"/>
          </w:tcPr>
          <w:p>
            <w:pPr>
              <w:pStyle w:val="null5"/>
              <w:jc w:val="left"/>
            </w:pPr>
            <w:r>
              <w:rPr>
                <w:rFonts w:ascii="仿宋_GB2312" w:hAnsi="仿宋_GB2312" w:cs="仿宋_GB2312" w:eastAsia="仿宋_GB2312"/>
              </w:rPr>
              <w:t>不参与串通投标承诺书</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是否符合采购文件及法律、法规规定的其他情形</w:t>
            </w:r>
          </w:p>
        </w:tc>
        <w:tc>
          <w:tcPr>
            <w:tcW w:type="dxa" w:w="3322"/>
          </w:tcPr>
          <w:p>
            <w:pPr>
              <w:pStyle w:val="null5"/>
              <w:jc w:val="left"/>
            </w:pPr>
            <w:r>
              <w:rPr>
                <w:rFonts w:ascii="仿宋_GB2312" w:hAnsi="仿宋_GB2312" w:cs="仿宋_GB2312" w:eastAsia="仿宋_GB2312"/>
              </w:rPr>
              <w:t>符合采购文件及法律、法规规定的其他情形。</w:t>
            </w:r>
          </w:p>
        </w:tc>
        <w:tc>
          <w:tcPr>
            <w:tcW w:type="dxa" w:w="1661"/>
          </w:tcPr>
          <w:p>
            <w:pPr>
              <w:pStyle w:val="null5"/>
              <w:jc w:val="left"/>
            </w:pPr>
            <w:r>
              <w:rPr>
                <w:rFonts w:ascii="仿宋_GB2312" w:hAnsi="仿宋_GB2312" w:cs="仿宋_GB2312" w:eastAsia="仿宋_GB2312"/>
              </w:rPr>
              <w:t>供应商认为需要提交的其他文件、封面、企业基本概况</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政府采购异常低价审查</w:t>
            </w:r>
          </w:p>
        </w:tc>
        <w:tc>
          <w:tcPr>
            <w:tcW w:type="dxa" w:w="3322"/>
          </w:tcPr>
          <w:p>
            <w:pPr>
              <w:pStyle w:val="null5"/>
              <w:jc w:val="left"/>
            </w:pPr>
            <w:r>
              <w:rPr>
                <w:rFonts w:ascii="仿宋_GB2312" w:hAnsi="仿宋_GB2312" w:cs="仿宋_GB2312" w:eastAsia="仿宋_GB2312"/>
              </w:rPr>
              <w:t>启动异常低价投标审查后，供应商不能提供书面说明、证明材料，或者提供的书面说明、证明材料不能证明其报价合理性的</w:t>
            </w:r>
          </w:p>
        </w:tc>
        <w:tc>
          <w:tcPr>
            <w:tcW w:type="dxa" w:w="1661"/>
          </w:tcPr>
          <w:p>
            <w:pPr>
              <w:pStyle w:val="null5"/>
              <w:jc w:val="left"/>
            </w:pPr>
            <w:r>
              <w:rPr>
                <w:rFonts w:ascii="仿宋_GB2312" w:hAnsi="仿宋_GB2312" w:cs="仿宋_GB2312" w:eastAsia="仿宋_GB2312"/>
              </w:rPr>
              <w:t>投标（响应）报价明细表、开标（报价）一览表</w:t>
            </w:r>
          </w:p>
        </w:tc>
      </w:tr>
      <w:tr>
        <w:tc>
          <w:tcPr>
            <w:tcW w:type="dxa" w:w="831"/>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响应文件是否含有采购人不能接受的附加条件的</w:t>
            </w:r>
          </w:p>
        </w:tc>
        <w:tc>
          <w:tcPr>
            <w:tcW w:type="dxa" w:w="3322"/>
          </w:tcPr>
          <w:p>
            <w:pPr>
              <w:pStyle w:val="null5"/>
              <w:jc w:val="left"/>
            </w:pPr>
            <w:r>
              <w:rPr>
                <w:rFonts w:ascii="仿宋_GB2312" w:hAnsi="仿宋_GB2312" w:cs="仿宋_GB2312" w:eastAsia="仿宋_GB2312"/>
              </w:rPr>
              <w:t>响应文件不含有采购人不能接受的附加条件的</w:t>
            </w:r>
          </w:p>
        </w:tc>
        <w:tc>
          <w:tcPr>
            <w:tcW w:type="dxa" w:w="1661"/>
          </w:tcPr>
          <w:p>
            <w:pPr>
              <w:pStyle w:val="null5"/>
              <w:jc w:val="left"/>
            </w:pPr>
            <w:r>
              <w:rPr>
                <w:rFonts w:ascii="仿宋_GB2312" w:hAnsi="仿宋_GB2312" w:cs="仿宋_GB2312" w:eastAsia="仿宋_GB2312"/>
              </w:rPr>
              <w:t>封面</w:t>
            </w:r>
          </w:p>
        </w:tc>
      </w:tr>
    </w:tbl>
    <w:p>
      <w:pPr>
        <w:pStyle w:val="null5"/>
        <w:ind w:firstLine="480"/>
        <w:jc w:val="both"/>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5"/>
        <w:ind w:firstLine="480"/>
        <w:jc w:val="left"/>
      </w:pPr>
      <w:r>
        <w:rPr>
          <w:rFonts w:ascii="仿宋_GB2312" w:hAnsi="仿宋_GB2312" w:cs="仿宋_GB2312" w:eastAsia="仿宋_GB2312"/>
        </w:rPr>
        <w:t>5.3.5.磋商</w:t>
      </w:r>
    </w:p>
    <w:p>
      <w:pPr>
        <w:pStyle w:val="null5"/>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5"/>
        <w:ind w:firstLine="480"/>
        <w:jc w:val="left"/>
      </w:pPr>
      <w:r>
        <w:rPr>
          <w:rFonts w:ascii="仿宋_GB2312" w:hAnsi="仿宋_GB2312" w:cs="仿宋_GB2312" w:eastAsia="仿宋_GB2312"/>
        </w:rPr>
        <w:t>二、磋商小组所有成员集中与所有供应商对技术、服务、合同条款等内容分别进行一轮或多轮的磋商。</w:t>
      </w:r>
    </w:p>
    <w:p>
      <w:pPr>
        <w:pStyle w:val="null5"/>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5"/>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5"/>
        <w:ind w:firstLine="480"/>
        <w:jc w:val="left"/>
      </w:pPr>
      <w:r>
        <w:rPr>
          <w:rFonts w:ascii="仿宋_GB2312" w:hAnsi="仿宋_GB2312" w:cs="仿宋_GB2312" w:eastAsia="仿宋_GB2312"/>
        </w:rPr>
        <w:t>五、磋商过程中，供应商可以根据磋商情况变更其响应文件，并将明确内容以“供应商响应表”形式在线提交磋商小组。“供应商响应表”作为响应文件的一部分，应加盖供应商（法定名称）电子印章，否则无效。</w:t>
      </w:r>
    </w:p>
    <w:p>
      <w:pPr>
        <w:pStyle w:val="null5"/>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5"/>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5"/>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5"/>
        <w:ind w:firstLine="480"/>
        <w:jc w:val="left"/>
      </w:pPr>
      <w:r>
        <w:rPr>
          <w:rFonts w:ascii="仿宋_GB2312" w:hAnsi="仿宋_GB2312" w:cs="仿宋_GB2312" w:eastAsia="仿宋_GB2312"/>
        </w:rPr>
        <w:t>5.3.6.最后报价</w:t>
      </w:r>
    </w:p>
    <w:p>
      <w:pPr>
        <w:pStyle w:val="null5"/>
        <w:ind w:firstLine="480"/>
        <w:jc w:val="left"/>
      </w:pPr>
      <w:r>
        <w:rPr>
          <w:rFonts w:ascii="仿宋_GB2312" w:hAnsi="仿宋_GB2312" w:cs="仿宋_GB2312" w:eastAsia="仿宋_GB2312"/>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如本项目符合《政府采购竞争性磋商采购方式管理暂行办法》第三条第四项情形的，提交最后报价的供应商可以为2家。有效最后报价应商家数不足本采购包约定最低有效家数的，本次采购活动终止，并发布终止公告。</w:t>
      </w:r>
    </w:p>
    <w:p>
      <w:pPr>
        <w:pStyle w:val="null5"/>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5"/>
        <w:ind w:firstLine="480"/>
        <w:jc w:val="left"/>
      </w:pPr>
      <w:r>
        <w:rPr>
          <w:rFonts w:ascii="仿宋_GB2312" w:hAnsi="仿宋_GB2312" w:cs="仿宋_GB2312" w:eastAsia="仿宋_GB2312"/>
        </w:rPr>
        <w:t>二、供应商未按磋商小组要求在规定时间内提交报价的，视为无效响应，由供应商自行承担不利后果。</w:t>
      </w:r>
    </w:p>
    <w:p>
      <w:pPr>
        <w:pStyle w:val="null5"/>
        <w:ind w:firstLine="480"/>
        <w:jc w:val="left"/>
      </w:pPr>
      <w:r>
        <w:rPr>
          <w:rFonts w:ascii="仿宋_GB2312" w:hAnsi="仿宋_GB2312" w:cs="仿宋_GB2312" w:eastAsia="仿宋_GB2312"/>
        </w:rPr>
        <w:t>三、最后报价提交后，供应商不得以任何理由撤回。</w:t>
      </w:r>
    </w:p>
    <w:p>
      <w:pPr>
        <w:pStyle w:val="null5"/>
        <w:ind w:firstLine="480"/>
        <w:jc w:val="left"/>
      </w:pPr>
      <w:r>
        <w:rPr>
          <w:rFonts w:ascii="仿宋_GB2312" w:hAnsi="仿宋_GB2312" w:cs="仿宋_GB2312" w:eastAsia="仿宋_GB2312"/>
        </w:rPr>
        <w:t>四、最后报价为有效报价应符合下列条件：</w:t>
      </w:r>
    </w:p>
    <w:p>
      <w:pPr>
        <w:pStyle w:val="null5"/>
        <w:ind w:firstLine="480"/>
        <w:jc w:val="left"/>
      </w:pPr>
      <w:r>
        <w:rPr>
          <w:rFonts w:ascii="仿宋_GB2312" w:hAnsi="仿宋_GB2312" w:cs="仿宋_GB2312" w:eastAsia="仿宋_GB2312"/>
        </w:rPr>
        <w:t>（一）供应商所提供的最后报价是在规定的时间内提交。</w:t>
      </w:r>
    </w:p>
    <w:p>
      <w:pPr>
        <w:pStyle w:val="null5"/>
        <w:ind w:firstLine="480"/>
        <w:jc w:val="left"/>
      </w:pPr>
      <w:r>
        <w:rPr>
          <w:rFonts w:ascii="仿宋_GB2312" w:hAnsi="仿宋_GB2312" w:cs="仿宋_GB2312" w:eastAsia="仿宋_GB2312"/>
        </w:rPr>
        <w:t>（二）供应商的最后报价应加盖供应商（法定名称）电子印章。</w:t>
      </w:r>
    </w:p>
    <w:p>
      <w:pPr>
        <w:pStyle w:val="null5"/>
        <w:ind w:firstLine="480"/>
        <w:jc w:val="left"/>
      </w:pPr>
      <w:r>
        <w:rPr>
          <w:rFonts w:ascii="仿宋_GB2312" w:hAnsi="仿宋_GB2312" w:cs="仿宋_GB2312" w:eastAsia="仿宋_GB2312"/>
        </w:rPr>
        <w:t>（三）供应商的最后报价应符合磋商文件的要求。</w:t>
      </w:r>
    </w:p>
    <w:p>
      <w:pPr>
        <w:pStyle w:val="null5"/>
        <w:ind w:firstLine="480"/>
        <w:jc w:val="left"/>
      </w:pPr>
      <w:r>
        <w:rPr>
          <w:rFonts w:ascii="仿宋_GB2312" w:hAnsi="仿宋_GB2312" w:cs="仿宋_GB2312" w:eastAsia="仿宋_GB2312"/>
        </w:rPr>
        <w:t>（四）最后报价唯一，且不高于最高限价。</w:t>
      </w:r>
    </w:p>
    <w:p>
      <w:pPr>
        <w:pStyle w:val="null5"/>
        <w:ind w:firstLine="480"/>
        <w:jc w:val="left"/>
      </w:pPr>
      <w:r>
        <w:rPr>
          <w:rFonts w:ascii="仿宋_GB2312" w:hAnsi="仿宋_GB2312" w:cs="仿宋_GB2312" w:eastAsia="仿宋_GB2312"/>
        </w:rPr>
        <w:t>五、最后报价出现下列情况的，除磋商文件另有规定外，按以下原则处理：</w:t>
      </w:r>
    </w:p>
    <w:p>
      <w:pPr>
        <w:pStyle w:val="null5"/>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5"/>
        <w:ind w:firstLine="480"/>
        <w:jc w:val="left"/>
      </w:pPr>
      <w:r>
        <w:rPr>
          <w:rFonts w:ascii="仿宋_GB2312" w:hAnsi="仿宋_GB2312" w:cs="仿宋_GB2312" w:eastAsia="仿宋_GB2312"/>
        </w:rPr>
        <w:t>（二）单价金额小数点或者百分比有明显错位的，应以总价为准，并修改单价；</w:t>
      </w:r>
    </w:p>
    <w:p>
      <w:pPr>
        <w:pStyle w:val="null5"/>
        <w:ind w:firstLine="480"/>
        <w:jc w:val="left"/>
      </w:pPr>
      <w:r>
        <w:rPr>
          <w:rFonts w:ascii="仿宋_GB2312" w:hAnsi="仿宋_GB2312" w:cs="仿宋_GB2312" w:eastAsia="仿宋_GB2312"/>
        </w:rPr>
        <w:t>（三）总价金额与按单价汇总金额不一致的，以单价汇总金额计算结果为准；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5"/>
        <w:ind w:firstLine="480"/>
        <w:jc w:val="left"/>
      </w:pPr>
      <w:r>
        <w:rPr>
          <w:rFonts w:ascii="仿宋_GB2312" w:hAnsi="仿宋_GB2312" w:cs="仿宋_GB2312" w:eastAsia="仿宋_GB2312"/>
        </w:rPr>
        <w:t>5.3.7.解释、澄清、说明的有关问题</w:t>
      </w:r>
    </w:p>
    <w:p>
      <w:pPr>
        <w:pStyle w:val="null5"/>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5"/>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5"/>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5"/>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5"/>
        <w:ind w:firstLine="480"/>
        <w:jc w:val="left"/>
      </w:pPr>
      <w:r>
        <w:rPr>
          <w:rFonts w:ascii="仿宋_GB2312" w:hAnsi="仿宋_GB2312" w:cs="仿宋_GB2312" w:eastAsia="仿宋_GB2312"/>
        </w:rPr>
        <w:t>5.3.8.比较与评价</w:t>
      </w:r>
    </w:p>
    <w:p>
      <w:pPr>
        <w:pStyle w:val="null5"/>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5"/>
        <w:ind w:firstLine="480"/>
        <w:jc w:val="left"/>
      </w:pPr>
      <w:r>
        <w:rPr>
          <w:rFonts w:ascii="仿宋_GB2312" w:hAnsi="仿宋_GB2312" w:cs="仿宋_GB2312" w:eastAsia="仿宋_GB2312"/>
        </w:rPr>
        <w:t>5.3.9.磋商小组复核</w:t>
      </w:r>
    </w:p>
    <w:p>
      <w:pPr>
        <w:pStyle w:val="null5"/>
        <w:ind w:firstLine="480"/>
        <w:jc w:val="left"/>
      </w:pPr>
      <w:r>
        <w:rPr>
          <w:rFonts w:ascii="仿宋_GB2312" w:hAnsi="仿宋_GB2312" w:cs="仿宋_GB2312" w:eastAsia="仿宋_GB2312"/>
        </w:rPr>
        <w:t>评审结束后，磋商小组应当进行复核，特别要对拟推荐为成交供应商的、报价最低的、响应文件被认定为无效的进行重点复核。</w:t>
      </w:r>
    </w:p>
    <w:p>
      <w:pPr>
        <w:pStyle w:val="null5"/>
        <w:ind w:firstLine="480"/>
        <w:jc w:val="left"/>
      </w:pPr>
      <w:r>
        <w:rPr>
          <w:rFonts w:ascii="仿宋_GB2312" w:hAnsi="仿宋_GB2312" w:cs="仿宋_GB2312" w:eastAsia="仿宋_GB2312"/>
        </w:rPr>
        <w:t>5.3.10.代理机构现场复核评审结果</w:t>
      </w:r>
    </w:p>
    <w:p>
      <w:pPr>
        <w:pStyle w:val="null5"/>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5"/>
        <w:ind w:firstLine="480"/>
        <w:jc w:val="left"/>
      </w:pPr>
      <w:r>
        <w:rPr>
          <w:rFonts w:ascii="仿宋_GB2312" w:hAnsi="仿宋_GB2312" w:cs="仿宋_GB2312" w:eastAsia="仿宋_GB2312"/>
        </w:rPr>
        <w:t>（一）资格审查认定错误的；</w:t>
      </w:r>
    </w:p>
    <w:p>
      <w:pPr>
        <w:pStyle w:val="null5"/>
        <w:ind w:firstLine="480"/>
        <w:jc w:val="left"/>
      </w:pPr>
      <w:r>
        <w:rPr>
          <w:rFonts w:ascii="仿宋_GB2312" w:hAnsi="仿宋_GB2312" w:cs="仿宋_GB2312" w:eastAsia="仿宋_GB2312"/>
        </w:rPr>
        <w:t>（二）分值汇总计算错误的；</w:t>
      </w:r>
    </w:p>
    <w:p>
      <w:pPr>
        <w:pStyle w:val="null5"/>
        <w:ind w:firstLine="480"/>
        <w:jc w:val="left"/>
      </w:pPr>
      <w:r>
        <w:rPr>
          <w:rFonts w:ascii="仿宋_GB2312" w:hAnsi="仿宋_GB2312" w:cs="仿宋_GB2312" w:eastAsia="仿宋_GB2312"/>
        </w:rPr>
        <w:t>（三）分项评分超出评分标准范围的；</w:t>
      </w:r>
    </w:p>
    <w:p>
      <w:pPr>
        <w:pStyle w:val="null5"/>
        <w:ind w:firstLine="480"/>
        <w:jc w:val="left"/>
      </w:pPr>
      <w:r>
        <w:rPr>
          <w:rFonts w:ascii="仿宋_GB2312" w:hAnsi="仿宋_GB2312" w:cs="仿宋_GB2312" w:eastAsia="仿宋_GB2312"/>
        </w:rPr>
        <w:t>（四）客观评分不一致的。</w:t>
      </w:r>
    </w:p>
    <w:p>
      <w:pPr>
        <w:pStyle w:val="null5"/>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5"/>
        <w:ind w:firstLine="480"/>
        <w:jc w:val="left"/>
      </w:pPr>
      <w:r>
        <w:rPr>
          <w:rFonts w:ascii="仿宋_GB2312" w:hAnsi="仿宋_GB2312" w:cs="仿宋_GB2312" w:eastAsia="仿宋_GB2312"/>
        </w:rPr>
        <w:t>三、代理机构复核过程中，磋商小组成员不得离开评审现场。</w:t>
      </w:r>
    </w:p>
    <w:p>
      <w:pPr>
        <w:pStyle w:val="null5"/>
        <w:ind w:firstLine="480"/>
        <w:jc w:val="left"/>
      </w:pPr>
      <w:r>
        <w:rPr>
          <w:rFonts w:ascii="仿宋_GB2312" w:hAnsi="仿宋_GB2312" w:cs="仿宋_GB2312" w:eastAsia="仿宋_GB2312"/>
        </w:rPr>
        <w:t>四、除资格审查认定错误和价格计算错误外，采购人或者代理机构不得以任何理由组织重新评审。代理机构发现磋商小组未按照磋商文件规定的评定成交的标准进行评审的，应当重新开展采购活动，并同时书面报告项目同级财政部门。</w:t>
      </w:r>
    </w:p>
    <w:p>
      <w:pPr>
        <w:pStyle w:val="null5"/>
        <w:ind w:firstLine="480"/>
        <w:jc w:val="left"/>
      </w:pPr>
      <w:r>
        <w:rPr>
          <w:rFonts w:ascii="仿宋_GB2312" w:hAnsi="仿宋_GB2312" w:cs="仿宋_GB2312" w:eastAsia="仿宋_GB2312"/>
        </w:rPr>
        <w:t>5.3.11.推荐成交候选供应商</w:t>
      </w:r>
    </w:p>
    <w:p>
      <w:pPr>
        <w:pStyle w:val="null5"/>
        <w:jc w:val="left"/>
      </w:pPr>
      <w:r>
        <w:rPr>
          <w:rFonts w:ascii="仿宋_GB2312" w:hAnsi="仿宋_GB2312" w:cs="仿宋_GB2312" w:eastAsia="仿宋_GB2312"/>
        </w:rPr>
        <w:t>采购包1：3名</w:t>
      </w:r>
    </w:p>
    <w:p>
      <w:pPr>
        <w:pStyle w:val="null5"/>
        <w:ind w:firstLine="480"/>
        <w:jc w:val="both"/>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5"/>
        <w:ind w:firstLine="480"/>
        <w:jc w:val="left"/>
      </w:pPr>
      <w:r>
        <w:rPr>
          <w:rFonts w:ascii="仿宋_GB2312" w:hAnsi="仿宋_GB2312" w:cs="仿宋_GB2312" w:eastAsia="仿宋_GB2312"/>
        </w:rPr>
        <w:t>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按照技术指标得分确定优劣）顺序排列。</w:t>
      </w:r>
    </w:p>
    <w:p>
      <w:pPr>
        <w:pStyle w:val="null5"/>
        <w:ind w:firstLine="480"/>
        <w:jc w:val="both"/>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5"/>
        <w:ind w:firstLine="480"/>
        <w:jc w:val="left"/>
      </w:pPr>
      <w:r>
        <w:rPr>
          <w:rFonts w:ascii="仿宋_GB2312" w:hAnsi="仿宋_GB2312" w:cs="仿宋_GB2312" w:eastAsia="仿宋_GB2312"/>
        </w:rPr>
        <w:t>5.3.12.出具磋商报告</w:t>
      </w:r>
    </w:p>
    <w:p>
      <w:pPr>
        <w:pStyle w:val="null5"/>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5"/>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5"/>
        <w:ind w:firstLine="480"/>
        <w:jc w:val="left"/>
      </w:pPr>
      <w:r>
        <w:rPr>
          <w:rFonts w:ascii="仿宋_GB2312" w:hAnsi="仿宋_GB2312" w:cs="仿宋_GB2312" w:eastAsia="仿宋_GB2312"/>
        </w:rPr>
        <w:t>二、磋商日期和地点，磋商小组成员名单；</w:t>
      </w:r>
    </w:p>
    <w:p>
      <w:pPr>
        <w:pStyle w:val="null5"/>
        <w:ind w:firstLine="480"/>
        <w:jc w:val="left"/>
      </w:pPr>
      <w:r>
        <w:rPr>
          <w:rFonts w:ascii="仿宋_GB2312" w:hAnsi="仿宋_GB2312" w:cs="仿宋_GB2312" w:eastAsia="仿宋_GB2312"/>
        </w:rPr>
        <w:t>三、参加报价的供应商名单及报价情况和未参加报价的供应商名单及原因；</w:t>
      </w:r>
    </w:p>
    <w:p>
      <w:pPr>
        <w:pStyle w:val="null5"/>
        <w:ind w:firstLine="480"/>
        <w:jc w:val="left"/>
      </w:pPr>
      <w:r>
        <w:rPr>
          <w:rFonts w:ascii="仿宋_GB2312" w:hAnsi="仿宋_GB2312" w:cs="仿宋_GB2312" w:eastAsia="仿宋_GB2312"/>
        </w:rPr>
        <w:t>四、变动磋商文件实质性内容的有关资料及记录；</w:t>
      </w:r>
    </w:p>
    <w:p>
      <w:pPr>
        <w:pStyle w:val="null5"/>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5"/>
        <w:ind w:firstLine="480"/>
        <w:jc w:val="left"/>
      </w:pPr>
      <w:r>
        <w:rPr>
          <w:rFonts w:ascii="仿宋_GB2312" w:hAnsi="仿宋_GB2312" w:cs="仿宋_GB2312" w:eastAsia="仿宋_GB2312"/>
        </w:rPr>
        <w:t>六、磋商情况记录和说明，包括对供应商的资格审查情况、供应商响应文件磋商情况等；</w:t>
      </w:r>
    </w:p>
    <w:p>
      <w:pPr>
        <w:pStyle w:val="null5"/>
        <w:ind w:firstLine="480"/>
        <w:jc w:val="left"/>
      </w:pPr>
      <w:r>
        <w:rPr>
          <w:rFonts w:ascii="仿宋_GB2312" w:hAnsi="仿宋_GB2312" w:cs="仿宋_GB2312" w:eastAsia="仿宋_GB2312"/>
        </w:rPr>
        <w:t>七、推荐的成交候选供应商名单及理由。</w:t>
      </w:r>
    </w:p>
    <w:p>
      <w:pPr>
        <w:pStyle w:val="null5"/>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报告上签字或加盖电子印章又不说明其不同意见和理由的，视为同意磋商报告。</w:t>
      </w:r>
    </w:p>
    <w:p>
      <w:pPr>
        <w:pStyle w:val="null5"/>
        <w:ind w:firstLine="480"/>
        <w:jc w:val="left"/>
      </w:pPr>
      <w:r>
        <w:rPr>
          <w:rFonts w:ascii="仿宋_GB2312" w:hAnsi="仿宋_GB2312" w:cs="仿宋_GB2312" w:eastAsia="仿宋_GB2312"/>
        </w:rPr>
        <w:t>5.3.13.评审争议处理规则</w:t>
      </w:r>
    </w:p>
    <w:p>
      <w:pPr>
        <w:pStyle w:val="null5"/>
        <w:ind w:firstLine="480"/>
        <w:jc w:val="left"/>
      </w:pPr>
      <w:r>
        <w:rPr>
          <w:rFonts w:ascii="仿宋_GB2312" w:hAnsi="仿宋_GB2312" w:cs="仿宋_GB2312" w:eastAsia="仿宋_GB2312"/>
        </w:rPr>
        <w:t>磋商小组在磋商过程中，对于资格审查、符合性审查、对响应文件作无效处理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5.4.评审方法、细则及标准</w:t>
      </w:r>
    </w:p>
    <w:p>
      <w:pPr>
        <w:pStyle w:val="null5"/>
        <w:ind w:firstLine="480"/>
        <w:jc w:val="left"/>
      </w:pPr>
      <w:r>
        <w:rPr>
          <w:rFonts w:ascii="仿宋_GB2312" w:hAnsi="仿宋_GB2312" w:cs="仿宋_GB2312" w:eastAsia="仿宋_GB2312"/>
        </w:rPr>
        <w:t>5.4.1.评审方法</w:t>
      </w:r>
    </w:p>
    <w:p>
      <w:pPr>
        <w:pStyle w:val="null5"/>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5.4.2.评审细则及标准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pPr>
            <w:r>
              <w:rPr>
                <w:rFonts w:ascii="仿宋_GB2312" w:hAnsi="仿宋_GB2312" w:cs="仿宋_GB2312" w:eastAsia="仿宋_GB2312"/>
              </w:rPr>
              <w:t>技术部分51.00分</w:t>
            </w:r>
          </w:p>
          <w:p>
            <w:pPr>
              <w:pStyle w:val="null5"/>
            </w:pPr>
            <w:r>
              <w:rPr>
                <w:rFonts w:ascii="仿宋_GB2312" w:hAnsi="仿宋_GB2312" w:cs="仿宋_GB2312" w:eastAsia="仿宋_GB2312"/>
              </w:rPr>
              <w:t>商务部分9.00分</w:t>
            </w:r>
          </w:p>
          <w:p>
            <w:pPr>
              <w:pStyle w:val="null5"/>
            </w:pPr>
            <w:r>
              <w:rPr>
                <w:rFonts w:ascii="仿宋_GB2312" w:hAnsi="仿宋_GB2312" w:cs="仿宋_GB2312" w:eastAsia="仿宋_GB2312"/>
              </w:rPr>
              <w:t>报价得分40.00分</w:t>
            </w:r>
          </w:p>
          <w:p>
            <w:pPr>
              <w:pStyle w:val="null5"/>
            </w:pPr>
            <w:r>
              <w:rPr>
                <w:rFonts w:ascii="仿宋_GB2312" w:hAnsi="仿宋_GB2312" w:cs="仿宋_GB2312" w:eastAsia="仿宋_GB2312"/>
              </w:rPr>
              <w:t>附加分9.10分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pPr>
            <w:r>
              <w:rPr>
                <w:rFonts w:ascii="仿宋_GB2312" w:hAnsi="仿宋_GB2312" w:cs="仿宋_GB2312" w:eastAsia="仿宋_GB2312"/>
              </w:rPr>
              <w:t>技术评审</w:t>
            </w:r>
          </w:p>
        </w:tc>
        <w:tc>
          <w:tcPr>
            <w:tcW w:type="dxa" w:w="1661"/>
          </w:tcPr>
          <w:p>
            <w:pPr>
              <w:pStyle w:val="null5"/>
            </w:pPr>
            <w:r>
              <w:rPr>
                <w:rFonts w:ascii="仿宋_GB2312" w:hAnsi="仿宋_GB2312" w:cs="仿宋_GB2312" w:eastAsia="仿宋_GB2312"/>
              </w:rPr>
              <w:t>产品技术性能及参数</w:t>
            </w:r>
          </w:p>
        </w:tc>
        <w:tc>
          <w:tcPr>
            <w:tcW w:type="dxa" w:w="2575"/>
          </w:tcPr>
          <w:p>
            <w:pPr>
              <w:pStyle w:val="null5"/>
            </w:pPr>
            <w:r>
              <w:rPr>
                <w:rFonts w:ascii="仿宋_GB2312" w:hAnsi="仿宋_GB2312" w:cs="仿宋_GB2312" w:eastAsia="仿宋_GB2312"/>
              </w:rPr>
              <w:t>技术指标响应：根据供应商所报产品的技术标准与参数配置对磋商要求的响应程度以及技术指标的偏离情况进行评审，所报产品的所有参数配置与技术指标无偏离或正偏离得基准分21分；非实质性技术参数中，重要技术参数（带▲号项）每有一项有负偏离的情况，在评审基准分的基础上减1分；其他技术参数（不带▲号项），每有一项有负偏离的情况，在评审基准分的基础上减0.5分，减至0分为止；无此项内容不得分。 注：①技术参数具体偏离情况将以技术偏离表为准，若供应商未填偏离表，或未明确标注偏离情况（无偏离、正偏离、负偏离）的，视为负偏离。 ②具体偏离项须在偏离表中逐条列明，须标明在技术说明中对应页码并以醒目方式标注。 ③带▲号项提供相应功能证明材料（包括但不限于测试报告、官网和功能截图等）。 ④技术参数扣分项为技术参数与性能指标中的每个最末级子项。</w:t>
            </w:r>
          </w:p>
        </w:tc>
        <w:tc>
          <w:tcPr>
            <w:tcW w:type="dxa" w:w="831"/>
          </w:tcPr>
          <w:p>
            <w:pPr>
              <w:pStyle w:val="null5"/>
              <w:jc w:val="center"/>
            </w:pPr>
            <w:r>
              <w:rPr>
                <w:rFonts w:ascii="仿宋_GB2312" w:hAnsi="仿宋_GB2312" w:cs="仿宋_GB2312" w:eastAsia="仿宋_GB2312"/>
              </w:rPr>
              <w:t>21.0000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技术偏离表</w:t>
            </w:r>
          </w:p>
          <w:p>
            <w:pPr>
              <w:pStyle w:val="null5"/>
            </w:pPr>
            <w:r>
              <w:rPr>
                <w:rFonts w:ascii="仿宋_GB2312" w:hAnsi="仿宋_GB2312" w:cs="仿宋_GB2312" w:eastAsia="仿宋_GB2312"/>
              </w:rPr>
              <w:t>货物清单（包括产品彩页等）</w:t>
            </w:r>
          </w:p>
        </w:tc>
      </w:tr>
      <w:tr>
        <w:tc>
          <w:tcPr>
            <w:tcW w:type="dxa" w:w="831"/>
            <w:vMerge/>
          </w:tcPr>
          <w:p/>
        </w:tc>
        <w:tc>
          <w:tcPr>
            <w:tcW w:type="dxa" w:w="1661"/>
          </w:tcPr>
          <w:p>
            <w:pPr>
              <w:pStyle w:val="null5"/>
            </w:pPr>
            <w:r>
              <w:rPr>
                <w:rFonts w:ascii="仿宋_GB2312" w:hAnsi="仿宋_GB2312" w:cs="仿宋_GB2312" w:eastAsia="仿宋_GB2312"/>
              </w:rPr>
              <w:t>安装调试方案</w:t>
            </w:r>
          </w:p>
        </w:tc>
        <w:tc>
          <w:tcPr>
            <w:tcW w:type="dxa" w:w="2575"/>
          </w:tcPr>
          <w:p>
            <w:pPr>
              <w:pStyle w:val="null5"/>
            </w:pPr>
            <w:r>
              <w:rPr>
                <w:rFonts w:ascii="仿宋_GB2312" w:hAnsi="仿宋_GB2312" w:cs="仿宋_GB2312" w:eastAsia="仿宋_GB2312"/>
              </w:rPr>
              <w:t>磋商小组成员根据方案响应情况进行综合评审，酌情打分，本项满分6分。存在瑕疵或不足的以0.5分为单位进行扣减，扣完为止；无此项内容不得分。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安装调试方案</w:t>
            </w:r>
          </w:p>
        </w:tc>
      </w:tr>
      <w:tr>
        <w:tc>
          <w:tcPr>
            <w:tcW w:type="dxa" w:w="831"/>
            <w:vMerge/>
          </w:tcPr>
          <w:p/>
        </w:tc>
        <w:tc>
          <w:tcPr>
            <w:tcW w:type="dxa" w:w="1661"/>
          </w:tcPr>
          <w:p>
            <w:pPr>
              <w:pStyle w:val="null5"/>
            </w:pPr>
            <w:r>
              <w:rPr>
                <w:rFonts w:ascii="仿宋_GB2312" w:hAnsi="仿宋_GB2312" w:cs="仿宋_GB2312" w:eastAsia="仿宋_GB2312"/>
              </w:rPr>
              <w:t>质量管理措施</w:t>
            </w:r>
          </w:p>
        </w:tc>
        <w:tc>
          <w:tcPr>
            <w:tcW w:type="dxa" w:w="2575"/>
          </w:tcPr>
          <w:p>
            <w:pPr>
              <w:pStyle w:val="null5"/>
            </w:pPr>
            <w:r>
              <w:rPr>
                <w:rFonts w:ascii="仿宋_GB2312" w:hAnsi="仿宋_GB2312" w:cs="仿宋_GB2312" w:eastAsia="仿宋_GB2312"/>
              </w:rPr>
              <w:t>磋商小组成员根据方案响应情况进行综合评审，酌情打分，本项满分6分。存在瑕疵或不足的以0.5分为单位进行扣减，扣完为止；无此项内容不得分。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质量管理措施</w:t>
            </w:r>
          </w:p>
        </w:tc>
      </w:tr>
      <w:tr>
        <w:tc>
          <w:tcPr>
            <w:tcW w:type="dxa" w:w="831"/>
            <w:vMerge/>
          </w:tcPr>
          <w:p/>
        </w:tc>
        <w:tc>
          <w:tcPr>
            <w:tcW w:type="dxa" w:w="1661"/>
          </w:tcPr>
          <w:p>
            <w:pPr>
              <w:pStyle w:val="null5"/>
            </w:pPr>
            <w:r>
              <w:rPr>
                <w:rFonts w:ascii="仿宋_GB2312" w:hAnsi="仿宋_GB2312" w:cs="仿宋_GB2312" w:eastAsia="仿宋_GB2312"/>
              </w:rPr>
              <w:t>风险控制方案</w:t>
            </w:r>
          </w:p>
        </w:tc>
        <w:tc>
          <w:tcPr>
            <w:tcW w:type="dxa" w:w="2575"/>
          </w:tcPr>
          <w:p>
            <w:pPr>
              <w:pStyle w:val="null5"/>
            </w:pPr>
            <w:r>
              <w:rPr>
                <w:rFonts w:ascii="仿宋_GB2312" w:hAnsi="仿宋_GB2312" w:cs="仿宋_GB2312" w:eastAsia="仿宋_GB2312"/>
              </w:rPr>
              <w:t>磋商小组成员根据方案响应情况进行综合评审，酌情打分，本项满分6分。存在瑕疵或不足的以0.5分为单位进行扣减，扣完为止；无此项内容不得分。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风险控制方案</w:t>
            </w:r>
          </w:p>
        </w:tc>
      </w:tr>
      <w:tr>
        <w:tc>
          <w:tcPr>
            <w:tcW w:type="dxa" w:w="831"/>
            <w:vMerge/>
          </w:tcPr>
          <w:p/>
        </w:tc>
        <w:tc>
          <w:tcPr>
            <w:tcW w:type="dxa" w:w="1661"/>
          </w:tcPr>
          <w:p>
            <w:pPr>
              <w:pStyle w:val="null5"/>
            </w:pPr>
            <w:r>
              <w:rPr>
                <w:rFonts w:ascii="仿宋_GB2312" w:hAnsi="仿宋_GB2312" w:cs="仿宋_GB2312" w:eastAsia="仿宋_GB2312"/>
              </w:rPr>
              <w:t>应急处理方案</w:t>
            </w:r>
          </w:p>
        </w:tc>
        <w:tc>
          <w:tcPr>
            <w:tcW w:type="dxa" w:w="2575"/>
          </w:tcPr>
          <w:p>
            <w:pPr>
              <w:pStyle w:val="null5"/>
            </w:pPr>
            <w:r>
              <w:rPr>
                <w:rFonts w:ascii="仿宋_GB2312" w:hAnsi="仿宋_GB2312" w:cs="仿宋_GB2312" w:eastAsia="仿宋_GB2312"/>
              </w:rPr>
              <w:t>磋商小组成员根据方案响应情况进行综合评审，酌情打分，本项满分6分。存在瑕疵或不足的以0.5分为单位进行扣减，扣完为止；无此项内容不得分。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应急处理方案</w:t>
            </w:r>
          </w:p>
        </w:tc>
      </w:tr>
      <w:tr>
        <w:tc>
          <w:tcPr>
            <w:tcW w:type="dxa" w:w="831"/>
            <w:vMerge/>
          </w:tcPr>
          <w:p/>
        </w:tc>
        <w:tc>
          <w:tcPr>
            <w:tcW w:type="dxa" w:w="1661"/>
          </w:tcPr>
          <w:p>
            <w:pPr>
              <w:pStyle w:val="null5"/>
            </w:pPr>
            <w:r>
              <w:rPr>
                <w:rFonts w:ascii="仿宋_GB2312" w:hAnsi="仿宋_GB2312" w:cs="仿宋_GB2312" w:eastAsia="仿宋_GB2312"/>
              </w:rPr>
              <w:t>培训及技术支持方案</w:t>
            </w:r>
          </w:p>
        </w:tc>
        <w:tc>
          <w:tcPr>
            <w:tcW w:type="dxa" w:w="2575"/>
          </w:tcPr>
          <w:p>
            <w:pPr>
              <w:pStyle w:val="null5"/>
            </w:pPr>
            <w:r>
              <w:rPr>
                <w:rFonts w:ascii="仿宋_GB2312" w:hAnsi="仿宋_GB2312" w:cs="仿宋_GB2312" w:eastAsia="仿宋_GB2312"/>
              </w:rPr>
              <w:t>磋商小组成员根据方案响应情况进行综合评审，酌情打分，本项满分6分。存在瑕疵或不足的以0.5分为单位进行扣减，扣完为止；无此项内容不得分。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培训及技术支持方案</w:t>
            </w:r>
          </w:p>
        </w:tc>
      </w:tr>
      <w:tr>
        <w:tc>
          <w:tcPr>
            <w:tcW w:type="dxa" w:w="831"/>
            <w:vMerge w:val="restart"/>
          </w:tcPr>
          <w:p>
            <w:pPr>
              <w:pStyle w:val="null5"/>
            </w:pPr>
            <w:r>
              <w:rPr>
                <w:rFonts w:ascii="仿宋_GB2312" w:hAnsi="仿宋_GB2312" w:cs="仿宋_GB2312" w:eastAsia="仿宋_GB2312"/>
              </w:rPr>
              <w:t>商务评审</w:t>
            </w:r>
          </w:p>
        </w:tc>
        <w:tc>
          <w:tcPr>
            <w:tcW w:type="dxa" w:w="1661"/>
          </w:tcPr>
          <w:p>
            <w:pPr>
              <w:pStyle w:val="null5"/>
            </w:pPr>
            <w:r>
              <w:rPr>
                <w:rFonts w:ascii="仿宋_GB2312" w:hAnsi="仿宋_GB2312" w:cs="仿宋_GB2312" w:eastAsia="仿宋_GB2312"/>
              </w:rPr>
              <w:t>质量承诺</w:t>
            </w:r>
          </w:p>
        </w:tc>
        <w:tc>
          <w:tcPr>
            <w:tcW w:type="dxa" w:w="2575"/>
          </w:tcPr>
          <w:p>
            <w:pPr>
              <w:pStyle w:val="null5"/>
            </w:pPr>
            <w:r>
              <w:rPr>
                <w:rFonts w:ascii="仿宋_GB2312" w:hAnsi="仿宋_GB2312" w:cs="仿宋_GB2312" w:eastAsia="仿宋_GB2312"/>
              </w:rPr>
              <w:t>供应商承诺所投产品（设备）整体系统质量免费保修（包括人工和部件）、上门服务年限均为2年（含）以上，得1分，否则不得分。</w:t>
            </w:r>
          </w:p>
        </w:tc>
        <w:tc>
          <w:tcPr>
            <w:tcW w:type="dxa" w:w="831"/>
          </w:tcPr>
          <w:p>
            <w:pPr>
              <w:pStyle w:val="null5"/>
              <w:jc w:val="center"/>
            </w:pPr>
            <w:r>
              <w:rPr>
                <w:rFonts w:ascii="仿宋_GB2312" w:hAnsi="仿宋_GB2312" w:cs="仿宋_GB2312" w:eastAsia="仿宋_GB2312"/>
              </w:rPr>
              <w:t>1.0000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质量承诺</w:t>
            </w:r>
          </w:p>
        </w:tc>
      </w:tr>
      <w:tr>
        <w:tc>
          <w:tcPr>
            <w:tcW w:type="dxa" w:w="831"/>
            <w:vMerge/>
          </w:tcPr>
          <w:p/>
        </w:tc>
        <w:tc>
          <w:tcPr>
            <w:tcW w:type="dxa" w:w="1661"/>
          </w:tcPr>
          <w:p>
            <w:pPr>
              <w:pStyle w:val="null5"/>
            </w:pPr>
            <w:r>
              <w:rPr>
                <w:rFonts w:ascii="仿宋_GB2312" w:hAnsi="仿宋_GB2312" w:cs="仿宋_GB2312" w:eastAsia="仿宋_GB2312"/>
              </w:rPr>
              <w:t>备品备件库承诺</w:t>
            </w:r>
          </w:p>
        </w:tc>
        <w:tc>
          <w:tcPr>
            <w:tcW w:type="dxa" w:w="2575"/>
          </w:tcPr>
          <w:p>
            <w:pPr>
              <w:pStyle w:val="null5"/>
            </w:pPr>
            <w:r>
              <w:rPr>
                <w:rFonts w:ascii="仿宋_GB2312" w:hAnsi="仿宋_GB2312" w:cs="仿宋_GB2312" w:eastAsia="仿宋_GB2312"/>
              </w:rPr>
              <w:t>供应商为采购人专门建立备品、备件库，设备（软件）出现故障，需要返厂维修时，提供备品备件的，得1分；否则不得分。</w:t>
            </w:r>
          </w:p>
        </w:tc>
        <w:tc>
          <w:tcPr>
            <w:tcW w:type="dxa" w:w="831"/>
          </w:tcPr>
          <w:p>
            <w:pPr>
              <w:pStyle w:val="null5"/>
              <w:jc w:val="center"/>
            </w:pPr>
            <w:r>
              <w:rPr>
                <w:rFonts w:ascii="仿宋_GB2312" w:hAnsi="仿宋_GB2312" w:cs="仿宋_GB2312" w:eastAsia="仿宋_GB2312"/>
              </w:rPr>
              <w:t>1.0000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备品备件库承诺</w:t>
            </w:r>
          </w:p>
        </w:tc>
      </w:tr>
      <w:tr>
        <w:tc>
          <w:tcPr>
            <w:tcW w:type="dxa" w:w="831"/>
            <w:vMerge/>
          </w:tcPr>
          <w:p/>
        </w:tc>
        <w:tc>
          <w:tcPr>
            <w:tcW w:type="dxa" w:w="1661"/>
          </w:tcPr>
          <w:p>
            <w:pPr>
              <w:pStyle w:val="null5"/>
            </w:pPr>
            <w:r>
              <w:rPr>
                <w:rFonts w:ascii="仿宋_GB2312" w:hAnsi="仿宋_GB2312" w:cs="仿宋_GB2312" w:eastAsia="仿宋_GB2312"/>
              </w:rPr>
              <w:t>培训承诺</w:t>
            </w:r>
          </w:p>
        </w:tc>
        <w:tc>
          <w:tcPr>
            <w:tcW w:type="dxa" w:w="2575"/>
          </w:tcPr>
          <w:p>
            <w:pPr>
              <w:pStyle w:val="null5"/>
            </w:pPr>
            <w:r>
              <w:rPr>
                <w:rFonts w:ascii="仿宋_GB2312" w:hAnsi="仿宋_GB2312" w:cs="仿宋_GB2312" w:eastAsia="仿宋_GB2312"/>
              </w:rPr>
              <w:t>供应商承诺在成交后，提供至少5人到采购人指定地点进行至少3天技术培训服务，得1分；供应商承诺在成交后，提供至少3人到采购人指定地点进行至少2天技术培训服务，得0.5分；本项最高得1分。不承诺设备使用培训的，不得分。</w:t>
            </w:r>
          </w:p>
        </w:tc>
        <w:tc>
          <w:tcPr>
            <w:tcW w:type="dxa" w:w="831"/>
          </w:tcPr>
          <w:p>
            <w:pPr>
              <w:pStyle w:val="null5"/>
              <w:jc w:val="center"/>
            </w:pPr>
            <w:r>
              <w:rPr>
                <w:rFonts w:ascii="仿宋_GB2312" w:hAnsi="仿宋_GB2312" w:cs="仿宋_GB2312" w:eastAsia="仿宋_GB2312"/>
              </w:rPr>
              <w:t>1.0000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培训承诺</w:t>
            </w:r>
          </w:p>
        </w:tc>
      </w:tr>
      <w:tr>
        <w:tc>
          <w:tcPr>
            <w:tcW w:type="dxa" w:w="831"/>
            <w:vMerge/>
          </w:tcPr>
          <w:p/>
        </w:tc>
        <w:tc>
          <w:tcPr>
            <w:tcW w:type="dxa" w:w="1661"/>
          </w:tcPr>
          <w:p>
            <w:pPr>
              <w:pStyle w:val="null5"/>
            </w:pPr>
            <w:r>
              <w:rPr>
                <w:rFonts w:ascii="仿宋_GB2312" w:hAnsi="仿宋_GB2312" w:cs="仿宋_GB2312" w:eastAsia="仿宋_GB2312"/>
              </w:rPr>
              <w:t>业绩</w:t>
            </w:r>
          </w:p>
        </w:tc>
        <w:tc>
          <w:tcPr>
            <w:tcW w:type="dxa" w:w="2575"/>
          </w:tcPr>
          <w:p>
            <w:pPr>
              <w:pStyle w:val="null5"/>
            </w:pPr>
            <w:r>
              <w:rPr>
                <w:rFonts w:ascii="仿宋_GB2312" w:hAnsi="仿宋_GB2312" w:cs="仿宋_GB2312" w:eastAsia="仿宋_GB2312"/>
              </w:rPr>
              <w:t>供应商自2023年1月1日以来（以合同签订日期为准）承担或完成的类似业绩（类似业绩是指：技术性能与本项目采购需求相同或类似），每提供一项得1分，本项最高得3分。[注：以上打分以单个采购合同为准，不重复累计；得分以该项最高得分为准，不重复加分] 类似业绩必须同时提供以下材料否则不得分：①采购合同扫描件②验收证明材料。 以上资料中所涉及的项目名称、采购内容、合同金额应相符，否则，磋商小组一律不予认可。提供资料不全或不符合磋商文件要求的，磋商一律不予认可。 供应商提供的以上业绩资料扫描件须按磋商文件编制要求全部编制在响应文件中并加盖供应商电子签章。评标时由磋商小组进行评审，否则一律不予认可。</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业绩一览表及证明材料</w:t>
            </w:r>
          </w:p>
        </w:tc>
      </w:tr>
      <w:tr>
        <w:tc>
          <w:tcPr>
            <w:tcW w:type="dxa" w:w="831"/>
            <w:vMerge/>
          </w:tcPr>
          <w:p/>
        </w:tc>
        <w:tc>
          <w:tcPr>
            <w:tcW w:type="dxa" w:w="1661"/>
          </w:tcPr>
          <w:p>
            <w:pPr>
              <w:pStyle w:val="null5"/>
            </w:pPr>
            <w:r>
              <w:rPr>
                <w:rFonts w:ascii="仿宋_GB2312" w:hAnsi="仿宋_GB2312" w:cs="仿宋_GB2312" w:eastAsia="仿宋_GB2312"/>
              </w:rPr>
              <w:t>全生命周期成本</w:t>
            </w:r>
          </w:p>
        </w:tc>
        <w:tc>
          <w:tcPr>
            <w:tcW w:type="dxa" w:w="2575"/>
          </w:tcPr>
          <w:p>
            <w:pPr>
              <w:pStyle w:val="null5"/>
            </w:pPr>
            <w:r>
              <w:rPr>
                <w:rFonts w:ascii="仿宋_GB2312" w:hAnsi="仿宋_GB2312" w:cs="仿宋_GB2312" w:eastAsia="仿宋_GB2312"/>
              </w:rPr>
              <w:t>对成本构成、金额及计算依据等全生命周期成本进行评价，本项最高得3分。每有一处瑕疵或不完善扣0.5分，扣完为止，缺项不得分。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项目全生命周期成分分析</w:t>
            </w:r>
          </w:p>
        </w:tc>
      </w:tr>
      <w:tr>
        <w:tc>
          <w:tcPr>
            <w:tcW w:type="dxa" w:w="831"/>
          </w:tcPr>
          <w:p>
            <w:pPr>
              <w:pStyle w:val="null5"/>
            </w:pPr>
            <w:r>
              <w:rPr>
                <w:rFonts w:ascii="仿宋_GB2312" w:hAnsi="仿宋_GB2312" w:cs="仿宋_GB2312" w:eastAsia="仿宋_GB2312"/>
              </w:rPr>
              <w:t>异常低价审查</w:t>
            </w:r>
          </w:p>
        </w:tc>
        <w:tc>
          <w:tcPr>
            <w:tcW w:type="dxa" w:w="1661"/>
          </w:tcPr>
          <w:p>
            <w:pPr>
              <w:pStyle w:val="null5"/>
            </w:pPr>
            <w:r>
              <w:rPr>
                <w:rFonts w:ascii="仿宋_GB2312" w:hAnsi="仿宋_GB2312" w:cs="仿宋_GB2312" w:eastAsia="仿宋_GB2312"/>
              </w:rPr>
              <w:t>异常低价审查</w:t>
            </w:r>
          </w:p>
        </w:tc>
        <w:tc>
          <w:tcPr>
            <w:tcW w:type="dxa" w:w="2575"/>
          </w:tcPr>
          <w:p>
            <w:pPr>
              <w:pStyle w:val="null5"/>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山东石油化工学院高分子物理实验室新建项目响应报价低于全部通过符合性审查供应商响应报价平均值50%的，即山东石油化工学院高分子物理实验室新建项目响应报价&lt;全部通过符合性审查供应商响应报价平均值×50%。 （2）山东石油化工学院高分子物理实验室新建项目响应报价低于通过符合性审查且报价次低供应商响应报价50%的，即山东石油化工学院高分子物理实验室新建项目响应报价&lt;通过符合性审查且报价次低供应商响应报价×50%。 （3）山东石油化工学院高分子物理实验室新建项目响应报价低于最高限价45%的，即山东石油化工学院高分子物理实验室新建项目响应报价&lt;最高限价×45%。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包括但不限于原材料成本、人工成本、制造费用等，给予相关供应商的合理时间一般不少于30分钟。其中，属于第3项情形，供应商已随响应文件一并提交相关书面说明及必要的证明材料的，在评审现场可不再重复提交。 评审委员会依据专业经验，参考同类项目中标价格、类似产品市场价格水平、行业人工费用标准、国家有关部门指导行业协会发布的行业平均成本等情况，对报价合理性进行判断。供应商不能提供书面说明、证明材料，或者提供的书面说明、证明材料不能证明其报价合理性的，评审委员会应当将其作为无效投标处理。 书面说明及必要的证明材料应包含：①提供销售发票、合同或其他证明材料等以证明供应商的报价及执行情况；②成本构成。包含项目内容的本身成本、人工费、拟配备设备及材料费、税金等所有费用的说明。 供应商可根据以上规定提前备好说明和证明材料，以备及时提交评审委员会。</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开标（报价）一览表</w:t>
            </w:r>
          </w:p>
        </w:tc>
      </w:tr>
      <w:tr>
        <w:tc>
          <w:tcPr>
            <w:tcW w:type="dxa" w:w="831"/>
          </w:tcPr>
          <w:p>
            <w:pPr>
              <w:pStyle w:val="null5"/>
            </w:pPr>
            <w:r>
              <w:rPr>
                <w:rFonts w:ascii="仿宋_GB2312" w:hAnsi="仿宋_GB2312" w:cs="仿宋_GB2312" w:eastAsia="仿宋_GB2312"/>
              </w:rPr>
              <w:t>价格评审</w:t>
            </w:r>
          </w:p>
        </w:tc>
        <w:tc>
          <w:tcPr>
            <w:tcW w:type="dxa" w:w="1661"/>
          </w:tcPr>
          <w:p>
            <w:pPr>
              <w:pStyle w:val="null5"/>
            </w:pPr>
            <w:r>
              <w:rPr>
                <w:rFonts w:ascii="仿宋_GB2312" w:hAnsi="仿宋_GB2312" w:cs="仿宋_GB2312" w:eastAsia="仿宋_GB2312"/>
              </w:rPr>
              <w:t>投标价格得分</w:t>
            </w:r>
          </w:p>
        </w:tc>
        <w:tc>
          <w:tcPr>
            <w:tcW w:type="dxa" w:w="2575"/>
          </w:tcPr>
          <w:p>
            <w:pPr>
              <w:pStyle w:val="null5"/>
            </w:pPr>
            <w:r>
              <w:rPr>
                <w:rFonts w:ascii="仿宋_GB2312" w:hAnsi="仿宋_GB2312" w:cs="仿宋_GB2312" w:eastAsia="仿宋_GB2312"/>
              </w:rPr>
              <w:t>采购人在评标办法中确定价格分值占总分值的比重（权重）为40%（即价格权值为40%）。本采购项目按照低价优先法计算报价得分，即满足磋商文件要求且磋商价格最低的磋商报价为磋商基准价，其价格分为满分。其他供应商的价格分值统一按照下列公式计算：磋商报价得分=（磋商基准价/磋商报价）×价格权值×100。供应商磋商报价得分按“四舍五入”精确到小数点后两位。磋商报价最高限价与评标基准价之间为投标报价有效范围。</w:t>
            </w:r>
          </w:p>
        </w:tc>
        <w:tc>
          <w:tcPr>
            <w:tcW w:type="dxa" w:w="831"/>
          </w:tcPr>
          <w:p>
            <w:pPr>
              <w:pStyle w:val="null5"/>
              <w:jc w:val="center"/>
            </w:pPr>
            <w:r>
              <w:rPr>
                <w:rFonts w:ascii="仿宋_GB2312" w:hAnsi="仿宋_GB2312" w:cs="仿宋_GB2312" w:eastAsia="仿宋_GB2312"/>
              </w:rPr>
              <w:t>40.0000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开标（报价）一览表</w:t>
            </w:r>
          </w:p>
        </w:tc>
      </w:tr>
      <w:tr>
        <w:tc>
          <w:tcPr>
            <w:tcW w:type="dxa" w:w="831"/>
          </w:tcPr>
          <w:p>
            <w:pPr>
              <w:pStyle w:val="null5"/>
            </w:pPr>
            <w:r>
              <w:rPr>
                <w:rFonts w:ascii="仿宋_GB2312" w:hAnsi="仿宋_GB2312" w:cs="仿宋_GB2312" w:eastAsia="仿宋_GB2312"/>
              </w:rPr>
              <w:t>附加分</w:t>
            </w:r>
          </w:p>
        </w:tc>
        <w:tc>
          <w:tcPr>
            <w:tcW w:type="dxa" w:w="1661"/>
          </w:tcPr>
          <w:p>
            <w:pPr>
              <w:pStyle w:val="null5"/>
            </w:pPr>
            <w:r>
              <w:rPr>
                <w:rFonts w:ascii="仿宋_GB2312" w:hAnsi="仿宋_GB2312" w:cs="仿宋_GB2312" w:eastAsia="仿宋_GB2312"/>
              </w:rPr>
              <w:t>节能环保政策</w:t>
            </w:r>
          </w:p>
        </w:tc>
        <w:tc>
          <w:tcPr>
            <w:tcW w:type="dxa" w:w="2575"/>
          </w:tcPr>
          <w:p>
            <w:pPr>
              <w:pStyle w:val="null5"/>
            </w:pPr>
            <w:r>
              <w:rPr>
                <w:rFonts w:ascii="仿宋_GB2312" w:hAnsi="仿宋_GB2312" w:cs="仿宋_GB2312" w:eastAsia="仿宋_GB2312"/>
              </w:rPr>
              <w:t>1.若响应的货物为品⽬清单内的节能或环境标志产品（不含品⽬清单强制采购范围产品），在其报价分值基础上分别根据节能或环境标志产品占最后总报价相应⽐例加分，计算公式如下：报价部分加分=【（节能产品报价＋环境标志产品报价）/总报价】×价格评审总分值40×5%。 2.若响应的货物为品⽬清单内的节能或环境标志产品（不含品⽬清单强制采购范围产品），在其技术分值基础上分别根据节能或环境标志产品占最后总报价相应⽐例加分，计算公式如下：技术部分加分=【（节能产品报价＋环境标志产品报价）/总报价】×技术评审总分值51×5%。</w:t>
            </w:r>
          </w:p>
        </w:tc>
        <w:tc>
          <w:tcPr>
            <w:tcW w:type="dxa" w:w="831"/>
          </w:tcPr>
          <w:p>
            <w:pPr>
              <w:pStyle w:val="null5"/>
              <w:jc w:val="center"/>
            </w:pPr>
            <w:r>
              <w:rPr>
                <w:rFonts w:ascii="仿宋_GB2312" w:hAnsi="仿宋_GB2312" w:cs="仿宋_GB2312" w:eastAsia="仿宋_GB2312"/>
              </w:rPr>
              <w:t>9.1000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节能、环境产品</w:t>
            </w:r>
          </w:p>
        </w:tc>
      </w:tr>
    </w:tbl>
    <w:p>
      <w:pPr>
        <w:pStyle w:val="null5"/>
        <w:ind w:firstLine="480"/>
        <w:jc w:val="left"/>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15.00%</w:t>
            </w:r>
          </w:p>
        </w:tc>
        <w:tc>
          <w:tcPr>
            <w:tcW w:type="dxa" w:w="1661"/>
          </w:tcPr>
          <w:p>
            <w:pPr>
              <w:pStyle w:val="null5"/>
              <w:jc w:val="left"/>
            </w:pPr>
            <w:r>
              <w:rPr>
                <w:rFonts w:ascii="仿宋_GB2312" w:hAnsi="仿宋_GB2312" w:cs="仿宋_GB2312" w:eastAsia="仿宋_GB2312"/>
              </w:rPr>
              <w:t>确定磋商基准价、计算磋商报价得分、确定磋商报价有效范围过程中，对所投产品均属于小型和微型企业产品且符合本磋商文件约定的价格扣除条件的投标报价，以扣除15%后的价格作为该供应商的投标报价进行计算和比较。 《政府采购促进中小企业发展管理办法》（财库〔2020〕46号）和《关于印发中小企业划型标准规定的通知》（工信部联企业〔2011〕300号文件）规定提供内容符合条件的《中小企业声明函》（详见附件）作为计算价格扣除的依据。 根据《财政部、司法部关于政府采购支持监狱企业发展有关问题的通知》（财库【2014】68号），在政府采购活动中，监狱企业视同小型、微型企业。监狱企业参加政府采购活动时，应当提供由省级以上监狱管理局、戒毒管理局（含新疆生产建设兵团）出具的属于监狱企业的证明文件（详见附件），其生产的产品视同小型、微型企业产品。 按照《财政部 民政部 中国残疾人联合会关于促进残疾人就业政府采购政策的通知》（财库【2017】141号）规定属于残疾人福利性单位的，提供《残疾人福利性单位声明函》（详见附件），其生产的产品视同小型、微型企业产品。残疾人福利性单位属于小型、微型企业的，不重复享受政策。 （《中小企业声明函》、监狱企业的证明文件、《残疾人福利性单位声明函》等须按磋商文件要求编入响应文件中并加盖供应商电子签章，否则不予认可。）</w:t>
            </w:r>
          </w:p>
        </w:tc>
        <w:tc>
          <w:tcPr>
            <w:tcW w:type="dxa" w:w="1910"/>
          </w:tcPr>
          <w:p>
            <w:pPr>
              <w:pStyle w:val="null5"/>
              <w:jc w:val="left"/>
            </w:pPr>
            <w:r>
              <w:rPr>
                <w:rFonts w:ascii="仿宋_GB2312" w:hAnsi="仿宋_GB2312" w:cs="仿宋_GB2312" w:eastAsia="仿宋_GB2312"/>
              </w:rPr>
              <w:t>中小企业声明函、监狱企业证明函、残疾人福利性单位声明函</w:t>
            </w:r>
          </w:p>
        </w:tc>
      </w:tr>
      <w:tr>
        <w:tc>
          <w:tcPr>
            <w:tcW w:type="dxa" w:w="58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实施本国产品标准</w:t>
            </w:r>
          </w:p>
        </w:tc>
        <w:tc>
          <w:tcPr>
            <w:tcW w:type="dxa" w:w="1661"/>
          </w:tcPr>
          <w:p>
            <w:pPr>
              <w:pStyle w:val="null5"/>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本国产品相关价格扣除： 根据《国务院办公厅关于在政府采购中实施本国产品标准及相关政策的通知》（国办发〔2025〕34号）的规定： （1）当采购项目或者采购包中为单一产品时：投标人对其提供的产品出具符合要求的《关于符合本国产品标准的声明函》（格式详见附件）或财政部会同有关部门规定的有关证明文件的，该产品视为本国产品，对本国产品的报价给予20%的价格扣除，用扣除后的价格参与评审。 （2）当采购项目或者采购包中为多种产品时：投标人为该采购项目或者采购包提供的符合本国产品标准的产品成本之和占该投标人提供的全部产品成本之和的比例达到80%（以提供产品成本占比承诺函为准）以上且投标人其提供的本国产品出具符合要求的《关于符合本国产品标准的声明函》（格式详见附件）或财政部会同有关部门规定的有关证明文件的，依法对该投标人提供的全部产品给予价格评审优惠，即对该投标人提供的全部产品的总报价给予20%的价格扣除，用扣除后的价格参与评审。 注：（1）相关价格评审扣除优惠，均应该在投标人原始报价基础上计算。（2）下列产品不适用本国产品标准：房屋和构筑物；文物、陈列品、图书、档案；特种动植物；农林牧渔初级产品；矿与矿物；电力、燃气、热力、水；食品、饮料及烟草原料；无形资产。（3）仅有本国产品参与竞争的政府采购项目，不执行价格扣除。</w:t>
            </w:r>
          </w:p>
        </w:tc>
        <w:tc>
          <w:tcPr>
            <w:tcW w:type="dxa" w:w="1910"/>
          </w:tcPr>
          <w:p>
            <w:pPr>
              <w:pStyle w:val="null5"/>
              <w:jc w:val="left"/>
            </w:pPr>
            <w:r>
              <w:rPr>
                <w:rFonts w:ascii="仿宋_GB2312" w:hAnsi="仿宋_GB2312" w:cs="仿宋_GB2312" w:eastAsia="仿宋_GB2312"/>
              </w:rPr>
              <w:t>关于符合本国产品标准的声明函、产品成本占比承诺函</w:t>
            </w:r>
          </w:p>
        </w:tc>
      </w:tr>
    </w:tbl>
    <w:p>
      <w:pPr>
        <w:pStyle w:val="null5"/>
        <w:ind w:firstLine="480"/>
        <w:jc w:val="left"/>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异常低价审查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山东石油化工学院高分子物理实验室新建项目响应报价低于全部通过符合性审查供应商响应报价平均值50%的，即山东石油化工学院高分子物理实验室新建项目响应报价&lt;全部通过符合性审查供应商响应报价平均值×50%。</w:t>
              <w:br/>
              <w:t>（2）山东石油化工学院高分子物理实验室新建项目响应报价低于通过符合性审查且报价次低供应商响应报价50%的，即山东石油化工学院高分子物理实验室新建项目响应报价&lt;通过符合性审查且报价次低供应商响应报价×50%。</w:t>
              <w:br/>
              <w:t>（3）山东石油化工学院高分子物理实验室新建项目响应报价低于最高限价45%的，即山东石油化工学院高分子物理实验室新建项目响应报价&lt;最高限价×45%。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包括但不限于原材料成本、人工成本、制造费用等，给予相关供应商的合理时间一般不少于30分钟。其中，属于第3项情形，供应商已随响应文件一并提交相关书面说明及必要的证明材料的，在评审现场可不再重复提交。 评审委员会依据专业经验，参考同类项目中标价格、类似产品市场价格水平、行业人工费用标准、国家有关部门指导行业协会发布的行业平均成本等情况，对报价合理性进行判断。供应商不能提供书面说明、证明材料，或者提供的书面说明、证明材料不能证明其报价合理性的，评审委员会应当将其作为无效投标处理。 书面说明及必要的证明材料应包含：①提供销售发票、合同或其他证明材料等以证明供应商的报价及执行情况；②成本构成。包含项目内容的本身成本、人工费、拟配备设备及材料费、税金等所有费用的说明。 供应商可根据以上规定提前备好说明和证明材料，以备及时提交评审委员会。</w:t>
            </w:r>
          </w:p>
        </w:tc>
      </w:tr>
    </w:tbl>
    <w:p>
      <w:pPr>
        <w:pStyle w:val="null5"/>
        <w:ind w:firstLine="480"/>
        <w:jc w:val="left"/>
      </w:pPr>
      <w:r>
        <w:rPr>
          <w:rFonts w:ascii="仿宋_GB2312" w:hAnsi="仿宋_GB2312" w:cs="仿宋_GB2312" w:eastAsia="仿宋_GB2312"/>
        </w:rPr>
        <w:t>本国产品</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1038"/>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其他仪器仪表</w:t>
            </w:r>
          </w:p>
        </w:tc>
        <w:tc>
          <w:tcPr>
            <w:tcW w:type="dxa" w:w="3115"/>
          </w:tcPr>
          <w:p>
            <w:pPr>
              <w:pStyle w:val="null5"/>
              <w:jc w:val="left"/>
            </w:pPr>
            <w:r>
              <w:rPr>
                <w:rFonts w:ascii="仿宋_GB2312" w:hAnsi="仿宋_GB2312" w:cs="仿宋_GB2312" w:eastAsia="仿宋_GB2312"/>
              </w:rPr>
              <w:t>差示扫描量热仪、注塑机、毛细管流变仪等设备</w:t>
            </w:r>
          </w:p>
        </w:tc>
        <w:tc>
          <w:tcPr>
            <w:tcW w:type="dxa" w:w="2076"/>
          </w:tcPr>
          <w:p>
            <w:pPr>
              <w:pStyle w:val="null5"/>
              <w:jc w:val="left"/>
            </w:pPr>
            <w:r>
              <w:rPr>
                <w:rFonts w:ascii="仿宋_GB2312" w:hAnsi="仿宋_GB2312" w:cs="仿宋_GB2312" w:eastAsia="仿宋_GB2312"/>
              </w:rPr>
              <w:t>差示扫描量热仪、注塑机、毛细管流变仪等设备</w:t>
            </w:r>
          </w:p>
        </w:tc>
      </w:tr>
    </w:tbl>
    <w:p>
      <w:pPr>
        <w:pStyle w:val="null5"/>
        <w:ind w:firstLine="480"/>
        <w:jc w:val="left"/>
      </w:pPr>
      <w:r>
        <w:rPr>
          <w:rFonts w:ascii="仿宋_GB2312" w:hAnsi="仿宋_GB2312" w:cs="仿宋_GB2312" w:eastAsia="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5"/>
        <w:ind w:firstLine="480"/>
        <w:jc w:val="left"/>
      </w:pPr>
      <w:r>
        <w:rPr>
          <w:rFonts w:ascii="仿宋_GB2312" w:hAnsi="仿宋_GB2312" w:cs="仿宋_GB2312" w:eastAsia="仿宋_GB2312"/>
        </w:rPr>
        <w:t>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3.在国内保税区、综合保税区等海关特殊监管区域生产的产品，属于在中国境内生产的产品。</w:t>
      </w:r>
    </w:p>
    <w:p>
      <w:pPr>
        <w:pStyle w:val="null5"/>
        <w:ind w:firstLine="480"/>
        <w:jc w:val="left"/>
      </w:pPr>
      <w:r>
        <w:rPr>
          <w:rFonts w:ascii="仿宋_GB2312" w:hAnsi="仿宋_GB2312" w:cs="仿宋_GB2312" w:eastAsia="仿宋_GB2312"/>
        </w:rPr>
        <w:t>4.取得药品监督管理部门授予的准字号医疗器械注册证的医疗器械产品，属于在中国境内生产的产品。</w:t>
      </w:r>
    </w:p>
    <w:p>
      <w:pPr>
        <w:pStyle w:val="null5"/>
        <w:ind w:firstLine="480"/>
        <w:jc w:val="left"/>
      </w:pPr>
      <w:r>
        <w:rPr>
          <w:rFonts w:ascii="仿宋_GB2312" w:hAnsi="仿宋_GB2312" w:cs="仿宋_GB2312" w:eastAsia="仿宋_GB2312"/>
        </w:rPr>
        <w:t>5.本国产品政策执行根据国办发〔2025〕34号、财库〔2025〕30号执行。</w:t>
      </w:r>
    </w:p>
    <w:p>
      <w:pPr>
        <w:pStyle w:val="null5"/>
        <w:ind w:firstLine="480"/>
        <w:jc w:val="left"/>
      </w:pPr>
      <w:r>
        <w:rPr>
          <w:rFonts w:ascii="仿宋_GB2312" w:hAnsi="仿宋_GB2312" w:cs="仿宋_GB2312" w:eastAsia="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pPr>
        <w:pStyle w:val="null5"/>
        <w:ind w:firstLine="480"/>
        <w:jc w:val="left"/>
        <w:outlineLvl w:val="2"/>
      </w:pPr>
      <w:r>
        <w:rPr>
          <w:rFonts w:ascii="仿宋_GB2312" w:hAnsi="仿宋_GB2312" w:cs="仿宋_GB2312" w:eastAsia="仿宋_GB2312"/>
          <w:sz w:val="28"/>
          <w:b/>
        </w:rPr>
        <w:t>5.5.终止采购活动</w:t>
      </w:r>
    </w:p>
    <w:p>
      <w:pPr>
        <w:pStyle w:val="null5"/>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5"/>
        <w:ind w:firstLine="480"/>
        <w:jc w:val="left"/>
      </w:pPr>
      <w:r>
        <w:rPr>
          <w:rFonts w:ascii="仿宋_GB2312" w:hAnsi="仿宋_GB2312" w:cs="仿宋_GB2312" w:eastAsia="仿宋_GB2312"/>
        </w:rPr>
        <w:t>一 、因情况变化，不再符合规定的竞争性磋商采购方式适用情形的；</w:t>
      </w:r>
    </w:p>
    <w:p>
      <w:pPr>
        <w:pStyle w:val="null5"/>
        <w:ind w:firstLine="480"/>
        <w:jc w:val="left"/>
      </w:pPr>
      <w:r>
        <w:rPr>
          <w:rFonts w:ascii="仿宋_GB2312" w:hAnsi="仿宋_GB2312" w:cs="仿宋_GB2312" w:eastAsia="仿宋_GB2312"/>
        </w:rPr>
        <w:t>二、出现影响采购公正的违法、违规行为的；</w:t>
      </w:r>
    </w:p>
    <w:p>
      <w:pPr>
        <w:pStyle w:val="null5"/>
        <w:ind w:firstLine="480"/>
        <w:jc w:val="left"/>
      </w:pPr>
      <w:r>
        <w:rPr>
          <w:rFonts w:ascii="仿宋_GB2312" w:hAnsi="仿宋_GB2312" w:cs="仿宋_GB2312" w:eastAsia="仿宋_GB2312"/>
        </w:rPr>
        <w:t>三、在采购过程中符合竞争要求的供应商或者报价未超过采购预算的供应商不足 3 家的，但《政府采购非招标采购方式管理办法》第二十七条第二款规定的情形除外。</w:t>
      </w:r>
    </w:p>
    <w:p>
      <w:pPr>
        <w:pStyle w:val="null5"/>
        <w:ind w:firstLine="480"/>
        <w:jc w:val="left"/>
        <w:outlineLvl w:val="2"/>
      </w:pPr>
      <w:r>
        <w:rPr>
          <w:rFonts w:ascii="仿宋_GB2312" w:hAnsi="仿宋_GB2312" w:cs="仿宋_GB2312" w:eastAsia="仿宋_GB2312"/>
          <w:sz w:val="28"/>
          <w:b/>
        </w:rPr>
        <w:t>5.6.确定成交供应商</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left"/>
        <w:outlineLvl w:val="2"/>
      </w:pPr>
      <w:r>
        <w:rPr>
          <w:rFonts w:ascii="仿宋_GB2312" w:hAnsi="仿宋_GB2312" w:cs="仿宋_GB2312" w:eastAsia="仿宋_GB2312"/>
          <w:sz w:val="28"/>
          <w:b/>
        </w:rPr>
        <w:t>5.7.磋商小组义务</w:t>
      </w:r>
    </w:p>
    <w:p>
      <w:pPr>
        <w:pStyle w:val="null5"/>
        <w:ind w:firstLine="480"/>
        <w:jc w:val="left"/>
      </w:pPr>
      <w:r>
        <w:rPr>
          <w:rFonts w:ascii="仿宋_GB2312" w:hAnsi="仿宋_GB2312" w:cs="仿宋_GB2312" w:eastAsia="仿宋_GB2312"/>
        </w:rPr>
        <w:t>磋商小组在政府采购活动中应当履行下列义务：</w:t>
      </w:r>
    </w:p>
    <w:p>
      <w:pPr>
        <w:pStyle w:val="null5"/>
        <w:ind w:firstLine="480"/>
        <w:jc w:val="left"/>
      </w:pPr>
      <w:r>
        <w:rPr>
          <w:rFonts w:ascii="仿宋_GB2312" w:hAnsi="仿宋_GB2312" w:cs="仿宋_GB2312" w:eastAsia="仿宋_GB2312"/>
        </w:rPr>
        <w:t>一、遵守评审工作纪律；</w:t>
      </w:r>
    </w:p>
    <w:p>
      <w:pPr>
        <w:pStyle w:val="null5"/>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三、不得泄露评审文件、评审情况和在评审过程中获悉的商业秘密；</w:t>
      </w:r>
    </w:p>
    <w:p>
      <w:pPr>
        <w:pStyle w:val="null5"/>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5"/>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5"/>
        <w:ind w:firstLine="480"/>
        <w:jc w:val="left"/>
      </w:pPr>
      <w:r>
        <w:rPr>
          <w:rFonts w:ascii="仿宋_GB2312" w:hAnsi="仿宋_GB2312" w:cs="仿宋_GB2312" w:eastAsia="仿宋_GB2312"/>
        </w:rPr>
        <w:t>六、配合答复处理供应商的询问、质疑和投诉等事项；</w:t>
      </w:r>
    </w:p>
    <w:p>
      <w:pPr>
        <w:pStyle w:val="null5"/>
        <w:ind w:firstLine="480"/>
        <w:jc w:val="left"/>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5.8.磋商小组成员工作纪律</w:t>
      </w:r>
    </w:p>
    <w:p>
      <w:pPr>
        <w:pStyle w:val="null5"/>
        <w:ind w:firstLine="480"/>
        <w:jc w:val="left"/>
      </w:pPr>
      <w:r>
        <w:rPr>
          <w:rFonts w:ascii="仿宋_GB2312" w:hAnsi="仿宋_GB2312" w:cs="仿宋_GB2312" w:eastAsia="仿宋_GB2312"/>
        </w:rPr>
        <w:t>磋商小组成员在政府采购活动中应当遵守下列工作纪律：</w:t>
      </w:r>
    </w:p>
    <w:p>
      <w:pPr>
        <w:pStyle w:val="null5"/>
        <w:ind w:firstLine="480"/>
        <w:jc w:val="left"/>
      </w:pPr>
      <w:r>
        <w:rPr>
          <w:rFonts w:ascii="仿宋_GB2312" w:hAnsi="仿宋_GB2312" w:cs="仿宋_GB2312" w:eastAsia="仿宋_GB2312"/>
        </w:rPr>
        <w:t>一、严格遵守政府采购法律制度关于磋商小组成员回避的规定。</w:t>
      </w:r>
    </w:p>
    <w:p>
      <w:pPr>
        <w:pStyle w:val="null5"/>
        <w:ind w:firstLine="480"/>
        <w:jc w:val="left"/>
      </w:pPr>
      <w:r>
        <w:rPr>
          <w:rFonts w:ascii="仿宋_GB2312" w:hAnsi="仿宋_GB2312" w:cs="仿宋_GB2312" w:eastAsia="仿宋_GB2312"/>
        </w:rPr>
        <w:t>二、评审前，应当将通讯工具或者相关电子设备交由代理机构统一保管。</w:t>
      </w:r>
    </w:p>
    <w:p>
      <w:pPr>
        <w:pStyle w:val="null5"/>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5"/>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left"/>
      </w:pPr>
      <w:r>
        <w:rPr>
          <w:rFonts w:ascii="仿宋_GB2312" w:hAnsi="仿宋_GB2312" w:cs="仿宋_GB2312" w:eastAsia="仿宋_GB2312"/>
        </w:rPr>
        <w:t>六、服从评审现场代理机构的现场秩序管理，接受评审现场监督人员的合法监督。</w:t>
      </w:r>
    </w:p>
    <w:p>
      <w:pPr>
        <w:pStyle w:val="null5"/>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响应文件格式</w:t>
      </w:r>
    </w:p>
    <w:p>
      <w:pPr>
        <w:pStyle w:val="null5"/>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详见附件：法定代表人身份证明、法定代表人授权委托书</w:t>
      </w:r>
    </w:p>
    <w:p>
      <w:pPr>
        <w:pStyle w:val="null5"/>
        <w:ind w:firstLine="960"/>
        <w:jc w:val="left"/>
      </w:pPr>
      <w:r>
        <w:rPr>
          <w:rFonts w:ascii="仿宋_GB2312" w:hAnsi="仿宋_GB2312" w:cs="仿宋_GB2312" w:eastAsia="仿宋_GB2312"/>
        </w:rPr>
        <w:t>详见附件：供应商认为需要提交的其他文件</w:t>
      </w:r>
    </w:p>
    <w:p>
      <w:pPr>
        <w:pStyle w:val="null5"/>
        <w:ind w:firstLine="960"/>
        <w:jc w:val="left"/>
      </w:pPr>
      <w:r>
        <w:rPr>
          <w:rFonts w:ascii="仿宋_GB2312" w:hAnsi="仿宋_GB2312" w:cs="仿宋_GB2312" w:eastAsia="仿宋_GB2312"/>
        </w:rPr>
        <w:t>详见附件：响应函</w:t>
      </w:r>
    </w:p>
    <w:p>
      <w:pPr>
        <w:pStyle w:val="null5"/>
        <w:ind w:firstLine="960"/>
        <w:jc w:val="left"/>
      </w:pPr>
      <w:r>
        <w:rPr>
          <w:rFonts w:ascii="仿宋_GB2312" w:hAnsi="仿宋_GB2312" w:cs="仿宋_GB2312" w:eastAsia="仿宋_GB2312"/>
        </w:rPr>
        <w:t>详见附件：质量承诺</w:t>
      </w:r>
    </w:p>
    <w:p>
      <w:pPr>
        <w:pStyle w:val="null5"/>
        <w:ind w:firstLine="960"/>
        <w:jc w:val="left"/>
      </w:pPr>
      <w:r>
        <w:rPr>
          <w:rFonts w:ascii="仿宋_GB2312" w:hAnsi="仿宋_GB2312" w:cs="仿宋_GB2312" w:eastAsia="仿宋_GB2312"/>
        </w:rPr>
        <w:t>详见附件：不参与串通投标承诺书</w:t>
      </w:r>
    </w:p>
    <w:p>
      <w:pPr>
        <w:pStyle w:val="null5"/>
        <w:ind w:firstLine="960"/>
        <w:jc w:val="left"/>
      </w:pPr>
      <w:r>
        <w:rPr>
          <w:rFonts w:ascii="仿宋_GB2312" w:hAnsi="仿宋_GB2312" w:cs="仿宋_GB2312" w:eastAsia="仿宋_GB2312"/>
        </w:rPr>
        <w:t>详见附件：企业基本概况</w:t>
      </w:r>
    </w:p>
    <w:p>
      <w:pPr>
        <w:pStyle w:val="null5"/>
        <w:ind w:firstLine="960"/>
        <w:jc w:val="left"/>
      </w:pPr>
      <w:r>
        <w:rPr>
          <w:rFonts w:ascii="仿宋_GB2312" w:hAnsi="仿宋_GB2312" w:cs="仿宋_GB2312" w:eastAsia="仿宋_GB2312"/>
        </w:rPr>
        <w:t>详见附件：产品均为原厂正品承诺函</w:t>
      </w:r>
    </w:p>
    <w:p>
      <w:pPr>
        <w:pStyle w:val="null5"/>
        <w:ind w:firstLine="960"/>
        <w:jc w:val="left"/>
      </w:pPr>
      <w:r>
        <w:rPr>
          <w:rFonts w:ascii="仿宋_GB2312" w:hAnsi="仿宋_GB2312" w:cs="仿宋_GB2312" w:eastAsia="仿宋_GB2312"/>
        </w:rPr>
        <w:t>详见附件：商务偏离表</w:t>
      </w:r>
    </w:p>
    <w:p>
      <w:pPr>
        <w:pStyle w:val="null5"/>
        <w:ind w:firstLine="960"/>
        <w:jc w:val="left"/>
      </w:pPr>
      <w:r>
        <w:rPr>
          <w:rFonts w:ascii="仿宋_GB2312" w:hAnsi="仿宋_GB2312" w:cs="仿宋_GB2312" w:eastAsia="仿宋_GB2312"/>
        </w:rPr>
        <w:t>详见附件：节能、环境产品</w:t>
      </w:r>
    </w:p>
    <w:p>
      <w:pPr>
        <w:pStyle w:val="null5"/>
        <w:ind w:firstLine="960"/>
        <w:jc w:val="left"/>
      </w:pPr>
      <w:r>
        <w:rPr>
          <w:rFonts w:ascii="仿宋_GB2312" w:hAnsi="仿宋_GB2312" w:cs="仿宋_GB2312" w:eastAsia="仿宋_GB2312"/>
        </w:rPr>
        <w:t>详见附件：货物清单（包括产品彩页等）</w:t>
      </w:r>
    </w:p>
    <w:p>
      <w:pPr>
        <w:pStyle w:val="null5"/>
        <w:ind w:firstLine="960"/>
        <w:jc w:val="left"/>
      </w:pPr>
      <w:r>
        <w:rPr>
          <w:rFonts w:ascii="仿宋_GB2312" w:hAnsi="仿宋_GB2312" w:cs="仿宋_GB2312" w:eastAsia="仿宋_GB2312"/>
        </w:rPr>
        <w:t>详见附件：业绩一览表及证明材料</w:t>
      </w:r>
    </w:p>
    <w:p>
      <w:pPr>
        <w:pStyle w:val="null5"/>
        <w:ind w:firstLine="960"/>
        <w:jc w:val="left"/>
      </w:pPr>
      <w:r>
        <w:rPr>
          <w:rFonts w:ascii="仿宋_GB2312" w:hAnsi="仿宋_GB2312" w:cs="仿宋_GB2312" w:eastAsia="仿宋_GB2312"/>
        </w:rPr>
        <w:t>详见附件：关于符合本国产品标准的声明函、产品成本占比承诺函</w:t>
      </w:r>
    </w:p>
    <w:p>
      <w:pPr>
        <w:pStyle w:val="null5"/>
        <w:ind w:firstLine="960"/>
        <w:jc w:val="left"/>
      </w:pPr>
      <w:r>
        <w:rPr>
          <w:rFonts w:ascii="仿宋_GB2312" w:hAnsi="仿宋_GB2312" w:cs="仿宋_GB2312" w:eastAsia="仿宋_GB2312"/>
        </w:rPr>
        <w:t>详见附件：中小企业声明函、监狱企业证明函、残疾人福利性单位声明函</w:t>
      </w:r>
    </w:p>
    <w:p>
      <w:pPr>
        <w:pStyle w:val="null5"/>
        <w:ind w:firstLine="960"/>
        <w:jc w:val="left"/>
      </w:pPr>
      <w:r>
        <w:rPr>
          <w:rFonts w:ascii="仿宋_GB2312" w:hAnsi="仿宋_GB2312" w:cs="仿宋_GB2312" w:eastAsia="仿宋_GB2312"/>
        </w:rPr>
        <w:t>详见附件：资格证明文件</w:t>
      </w:r>
    </w:p>
    <w:p>
      <w:pPr>
        <w:pStyle w:val="null5"/>
        <w:ind w:firstLine="960"/>
        <w:jc w:val="left"/>
      </w:pPr>
      <w:r>
        <w:rPr>
          <w:rFonts w:ascii="仿宋_GB2312" w:hAnsi="仿宋_GB2312" w:cs="仿宋_GB2312" w:eastAsia="仿宋_GB2312"/>
        </w:rPr>
        <w:t>详见附件：项目全生命周期成分分析</w:t>
      </w:r>
    </w:p>
    <w:p>
      <w:pPr>
        <w:pStyle w:val="null5"/>
        <w:ind w:firstLine="960"/>
        <w:jc w:val="left"/>
      </w:pPr>
      <w:r>
        <w:rPr>
          <w:rFonts w:ascii="仿宋_GB2312" w:hAnsi="仿宋_GB2312" w:cs="仿宋_GB2312" w:eastAsia="仿宋_GB2312"/>
        </w:rPr>
        <w:t>详见附件：技术偏离表</w:t>
      </w:r>
    </w:p>
    <w:p>
      <w:pPr>
        <w:pStyle w:val="null5"/>
        <w:ind w:firstLine="960"/>
        <w:jc w:val="left"/>
      </w:pPr>
      <w:r>
        <w:rPr>
          <w:rFonts w:ascii="仿宋_GB2312" w:hAnsi="仿宋_GB2312" w:cs="仿宋_GB2312" w:eastAsia="仿宋_GB2312"/>
        </w:rPr>
        <w:t>详见附件：安装调试方案</w:t>
      </w:r>
    </w:p>
    <w:p>
      <w:pPr>
        <w:pStyle w:val="null5"/>
        <w:ind w:firstLine="960"/>
        <w:jc w:val="left"/>
      </w:pPr>
      <w:r>
        <w:rPr>
          <w:rFonts w:ascii="仿宋_GB2312" w:hAnsi="仿宋_GB2312" w:cs="仿宋_GB2312" w:eastAsia="仿宋_GB2312"/>
        </w:rPr>
        <w:t>详见附件：质量管理措施</w:t>
      </w:r>
    </w:p>
    <w:p>
      <w:pPr>
        <w:pStyle w:val="null5"/>
        <w:ind w:firstLine="960"/>
        <w:jc w:val="left"/>
      </w:pPr>
      <w:r>
        <w:rPr>
          <w:rFonts w:ascii="仿宋_GB2312" w:hAnsi="仿宋_GB2312" w:cs="仿宋_GB2312" w:eastAsia="仿宋_GB2312"/>
        </w:rPr>
        <w:t>详见附件：风险控制方案</w:t>
      </w:r>
    </w:p>
    <w:p>
      <w:pPr>
        <w:pStyle w:val="null5"/>
        <w:ind w:firstLine="960"/>
        <w:jc w:val="left"/>
      </w:pPr>
      <w:r>
        <w:rPr>
          <w:rFonts w:ascii="仿宋_GB2312" w:hAnsi="仿宋_GB2312" w:cs="仿宋_GB2312" w:eastAsia="仿宋_GB2312"/>
        </w:rPr>
        <w:t>详见附件：应急处理方案</w:t>
      </w:r>
    </w:p>
    <w:p>
      <w:pPr>
        <w:pStyle w:val="null5"/>
        <w:ind w:firstLine="960"/>
        <w:jc w:val="left"/>
      </w:pPr>
      <w:r>
        <w:rPr>
          <w:rFonts w:ascii="仿宋_GB2312" w:hAnsi="仿宋_GB2312" w:cs="仿宋_GB2312" w:eastAsia="仿宋_GB2312"/>
        </w:rPr>
        <w:t>详见附件：培训及技术支持方案</w:t>
      </w:r>
    </w:p>
    <w:p>
      <w:pPr>
        <w:pStyle w:val="null5"/>
        <w:ind w:firstLine="960"/>
        <w:jc w:val="left"/>
      </w:pPr>
      <w:r>
        <w:rPr>
          <w:rFonts w:ascii="仿宋_GB2312" w:hAnsi="仿宋_GB2312" w:cs="仿宋_GB2312" w:eastAsia="仿宋_GB2312"/>
        </w:rPr>
        <w:t>详见附件：备品备件库承诺</w:t>
      </w:r>
    </w:p>
    <w:p>
      <w:pPr>
        <w:pStyle w:val="null5"/>
        <w:ind w:firstLine="960"/>
        <w:jc w:val="left"/>
      </w:pPr>
      <w:r>
        <w:rPr>
          <w:rFonts w:ascii="仿宋_GB2312" w:hAnsi="仿宋_GB2312" w:cs="仿宋_GB2312" w:eastAsia="仿宋_GB2312"/>
        </w:rPr>
        <w:t>详见附件：培训承诺</w:t>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详见附件：政府采购履约验收书参考样本（货物类）、山东省政府采购合同.docx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