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竞争性磋商文件</w:t>
      </w:r>
    </w:p>
    <w:p>
      <w:pPr>
        <w:pStyle w:val="null5"/>
        <w:jc w:val="center"/>
        <w:outlineLvl w:val="0"/>
      </w:pPr>
      <w:r>
        <w:rPr>
          <w:rFonts w:ascii="仿宋_GB2312" w:hAnsi="仿宋_GB2312" w:cs="仿宋_GB2312" w:eastAsia="仿宋_GB2312"/>
          <w:sz w:val="48"/>
          <w:b/>
        </w:rPr>
        <w:t>（货物类）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山东石油化工学院药物分析实验室新建项目</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SDGP370000000202602005865</w:t>
      </w:r>
    </w:p>
    <w:p>
      <w:pPr>
        <w:pStyle w:val="null5"/>
        <w:jc w:val="left"/>
        <w:outlineLvl w:val="2"/>
      </w:pPr>
      <w:r>
        <w:rPr>
          <w:rFonts w:ascii="仿宋_GB2312" w:hAnsi="仿宋_GB2312" w:cs="仿宋_GB2312" w:eastAsia="仿宋_GB2312"/>
          <w:sz w:val="28"/>
          <w:b/>
        </w:rPr>
        <w:t>采购人：</w:t>
      </w:r>
      <w:r>
        <w:rPr>
          <w:rFonts w:ascii="仿宋_GB2312" w:hAnsi="仿宋_GB2312" w:cs="仿宋_GB2312" w:eastAsia="仿宋_GB2312"/>
          <w:sz w:val="28"/>
          <w:b/>
        </w:rPr>
        <w:t>山东石油化工学院</w:t>
      </w:r>
    </w:p>
    <w:p>
      <w:pPr>
        <w:pStyle w:val="null5"/>
        <w:jc w:val="center"/>
        <w:outlineLvl w:val="2"/>
      </w:pPr>
      <w:r>
        <w:rPr>
          <w:rFonts w:ascii="仿宋_GB2312" w:hAnsi="仿宋_GB2312" w:cs="仿宋_GB2312" w:eastAsia="仿宋_GB2312"/>
          <w:sz w:val="28"/>
          <w:b/>
        </w:rPr>
        <w:t>采购代理机构：</w:t>
      </w:r>
      <w:r>
        <w:rPr>
          <w:rFonts w:ascii="仿宋_GB2312" w:hAnsi="仿宋_GB2312" w:cs="仿宋_GB2312" w:eastAsia="仿宋_GB2312"/>
          <w:sz w:val="28"/>
          <w:b/>
        </w:rPr>
        <w:t>山东华标招标有限公司</w:t>
      </w:r>
    </w:p>
    <w:p>
      <w:pPr>
        <w:pStyle w:val="null5"/>
        <w:jc w:val="center"/>
      </w:pPr>
      <w:r>
        <w:rPr>
          <w:rFonts w:ascii="仿宋_GB2312" w:hAnsi="仿宋_GB2312" w:cs="仿宋_GB2312" w:eastAsia="仿宋_GB2312"/>
        </w:rPr>
        <w:t>2026年08月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竞争性磋商邀请</w:t>
      </w:r>
    </w:p>
    <w:p>
      <w:pPr>
        <w:pStyle w:val="null5"/>
        <w:ind w:firstLine="480"/>
        <w:jc w:val="left"/>
      </w:pPr>
      <w:r>
        <w:rPr>
          <w:rFonts w:ascii="仿宋_GB2312" w:hAnsi="仿宋_GB2312" w:cs="仿宋_GB2312" w:eastAsia="仿宋_GB2312"/>
        </w:rPr>
        <w:t>山东华标招标有限公司</w:t>
      </w:r>
      <w:r>
        <w:rPr>
          <w:rFonts w:ascii="仿宋_GB2312" w:hAnsi="仿宋_GB2312" w:cs="仿宋_GB2312" w:eastAsia="仿宋_GB2312"/>
        </w:rPr>
        <w:t xml:space="preserve"> （以下简称“代理机构”）受</w:t>
      </w:r>
      <w:r>
        <w:rPr>
          <w:rFonts w:ascii="仿宋_GB2312" w:hAnsi="仿宋_GB2312" w:cs="仿宋_GB2312" w:eastAsia="仿宋_GB2312"/>
        </w:rPr>
        <w:t>山东石油化工学院</w:t>
      </w:r>
      <w:r>
        <w:rPr>
          <w:rFonts w:ascii="仿宋_GB2312" w:hAnsi="仿宋_GB2312" w:cs="仿宋_GB2312" w:eastAsia="仿宋_GB2312"/>
        </w:rPr>
        <w:t xml:space="preserve"> （以下简称“采购人”）委托，对</w:t>
      </w:r>
      <w:r>
        <w:rPr>
          <w:rFonts w:ascii="仿宋_GB2312" w:hAnsi="仿宋_GB2312" w:cs="仿宋_GB2312" w:eastAsia="仿宋_GB2312"/>
        </w:rPr>
        <w:t>山东石油化工学院药物分析实验室新建项目</w:t>
      </w:r>
      <w:r>
        <w:rPr>
          <w:rFonts w:ascii="仿宋_GB2312" w:hAnsi="仿宋_GB2312" w:cs="仿宋_GB2312" w:eastAsia="仿宋_GB2312"/>
        </w:rPr>
        <w:t>采用竞争性磋商方式进行采购，兹邀请潜在供应商参加。本项目为山东省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1.1.项目编号：</w:t>
      </w:r>
      <w:r>
        <w:rPr>
          <w:rFonts w:ascii="仿宋_GB2312" w:hAnsi="仿宋_GB2312" w:cs="仿宋_GB2312" w:eastAsia="仿宋_GB2312"/>
          <w:sz w:val="28"/>
          <w:b/>
        </w:rPr>
        <w:t>SDGP370000000202602005865</w:t>
      </w:r>
    </w:p>
    <w:p>
      <w:pPr>
        <w:pStyle w:val="null5"/>
        <w:ind w:firstLine="480"/>
        <w:jc w:val="left"/>
        <w:outlineLvl w:val="2"/>
      </w:pPr>
      <w:r>
        <w:rPr>
          <w:rFonts w:ascii="仿宋_GB2312" w:hAnsi="仿宋_GB2312" w:cs="仿宋_GB2312" w:eastAsia="仿宋_GB2312"/>
          <w:sz w:val="28"/>
          <w:b/>
        </w:rPr>
        <w:t xml:space="preserve">1.2.项目名称： </w:t>
      </w:r>
      <w:r>
        <w:rPr>
          <w:rFonts w:ascii="仿宋_GB2312" w:hAnsi="仿宋_GB2312" w:cs="仿宋_GB2312" w:eastAsia="仿宋_GB2312"/>
          <w:sz w:val="28"/>
          <w:b/>
        </w:rPr>
        <w:t>山东石油化工学院药物分析实验室新建项目</w:t>
      </w:r>
    </w:p>
    <w:p>
      <w:pPr>
        <w:pStyle w:val="null5"/>
        <w:ind w:firstLine="480"/>
        <w:jc w:val="left"/>
        <w:outlineLvl w:val="2"/>
      </w:pPr>
      <w:r>
        <w:rPr>
          <w:rFonts w:ascii="仿宋_GB2312" w:hAnsi="仿宋_GB2312" w:cs="仿宋_GB2312" w:eastAsia="仿宋_GB2312"/>
          <w:sz w:val="28"/>
          <w:b/>
        </w:rPr>
        <w:t>1.3.项目简介</w:t>
      </w:r>
    </w:p>
    <w:p>
      <w:pPr>
        <w:pStyle w:val="null5"/>
        <w:ind w:firstLine="480"/>
        <w:jc w:val="left"/>
      </w:pPr>
      <w:r>
        <w:rPr>
          <w:rFonts w:ascii="仿宋_GB2312" w:hAnsi="仿宋_GB2312" w:cs="仿宋_GB2312" w:eastAsia="仿宋_GB2312"/>
        </w:rPr>
        <w:t>本项目为山东石油化工学院药物分析实验室新建项目，共分为1个包，具体采购内容及技术要求详见采购文件具体要求。</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供应商具有独立承担民事责任的能力：提供有效的营业执照或者事业单位法人证书或者民办非企业单位、社会团体法人等的登记证书等证明文件或者自然人的身份证明（自然人身份证明仅在自然人作为投标主体时适用）。（提供原件扫描件或复印件加盖公章）</w:t>
      </w:r>
    </w:p>
    <w:p>
      <w:pPr>
        <w:pStyle w:val="null5"/>
        <w:jc w:val="left"/>
      </w:pPr>
      <w:r>
        <w:rPr>
          <w:rFonts w:ascii="仿宋_GB2312" w:hAnsi="仿宋_GB2312" w:cs="仿宋_GB2312" w:eastAsia="仿宋_GB2312"/>
        </w:rPr>
        <w:t>2、供应商具有良好的商业信誉和健全的财务会计制度：提供2025年度由有法定资格的中介机构出具的财务审计报告。供应商未提供财务审计报告的，应当提供基本开户银行出具的资信证明，中小企业可提供财政部门认可的政府采购专业担保机构出具的投标担保函。（提供原件扫描件或复印件加盖公章）</w:t>
      </w:r>
    </w:p>
    <w:p>
      <w:pPr>
        <w:pStyle w:val="null5"/>
        <w:jc w:val="left"/>
      </w:pPr>
      <w:r>
        <w:rPr>
          <w:rFonts w:ascii="仿宋_GB2312" w:hAnsi="仿宋_GB2312" w:cs="仿宋_GB2312" w:eastAsia="仿宋_GB2312"/>
        </w:rPr>
        <w:t>3、供应商具有履行合同所必需的设备和专业技术能力：履行本项目合同所必需的设备和专业技术能力的证明。（提供原件扫描件或复印件加盖公章）</w:t>
      </w:r>
    </w:p>
    <w:p>
      <w:pPr>
        <w:pStyle w:val="null5"/>
        <w:jc w:val="left"/>
      </w:pPr>
      <w:r>
        <w:rPr>
          <w:rFonts w:ascii="仿宋_GB2312" w:hAnsi="仿宋_GB2312" w:cs="仿宋_GB2312" w:eastAsia="仿宋_GB2312"/>
        </w:rPr>
        <w:t>4、供应商具有依法缴纳税收和社会保障资金的良好记录：（1）提供依法缴纳近半年内任意一个月税收的凭据（或纳税申报）或依法缴纳税收和社会保障资金承诺函；（2）提供依法缴纳近半年内任意一个月社会保险的凭据或依法缴纳税收和社会保障资金承诺函；（3）依法免税或不需要缴纳社会保险的供应商，应提供相应文件证明其依法免税或不需要缴纳社会保险。注：（1）在山东省境内注册的供应商参与本项目，且可通过“中国山东政府采购网”查询缴纳税收和社会保障资金信息的，可在响应文件中提供《依法缴纳税收和社会保障资金承诺函》。供应商可登录“中国山东政府采购网”(www.ccgp-shandong.gov.cn)，在“开评标管理”栏目中查询本单位在山东省缴纳税收和社会保障资金的情况。（2）以下情形不适用提供《依法缴纳税收和社会保障资金承诺函》，应按照竞争性磋商文件要求提供相关证明材料。①供应商登录“中国山东政府采购网”查询缴纳税收和社会保障资金信息反馈无相关信息的。②依法免税或不需要缴纳社会保障资金的。③未在山东省内缴纳税收和社会保障资金的供应商。④其他不适用依法缴纳税收和社会保障资金承诺制的情形。（提供原件扫描件或复印件加盖公章）</w:t>
      </w:r>
    </w:p>
    <w:p>
      <w:pPr>
        <w:pStyle w:val="null5"/>
        <w:jc w:val="left"/>
      </w:pPr>
      <w:r>
        <w:rPr>
          <w:rFonts w:ascii="仿宋_GB2312" w:hAnsi="仿宋_GB2312" w:cs="仿宋_GB2312" w:eastAsia="仿宋_GB2312"/>
        </w:rPr>
        <w:t>5、供应商参加政府采购活动前三年内，在经营活动中没有重大违法记录：参加本次政府采购活动前近三年内在经营活动中没有重大违法记录的书面声明函。（提供原件扫描件或复印件加盖公章）</w:t>
      </w:r>
    </w:p>
    <w:p>
      <w:pPr>
        <w:pStyle w:val="null5"/>
        <w:jc w:val="left"/>
      </w:pPr>
      <w:r>
        <w:rPr>
          <w:rFonts w:ascii="仿宋_GB2312" w:hAnsi="仿宋_GB2312" w:cs="仿宋_GB2312" w:eastAsia="仿宋_GB2312"/>
        </w:rPr>
        <w:t>6、供应商无不良信用记录：未被列入信用中国网站（www.creditchina.gov.cn）、中国政府采购网（www.ccgp.gov.cn）渠道信用记录失信被执行人、重大税收违法案件当事人名单、政府采购严重违法失信行为记录名单。本项由采购代理机构现场核查。</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属于专门面向中小企业采购，预留比例为100%。</w:t>
      </w:r>
    </w:p>
    <w:p>
      <w:pPr>
        <w:pStyle w:val="null5"/>
        <w:ind w:firstLine="480"/>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ind w:firstLine="480"/>
        <w:jc w:val="left"/>
        <w:outlineLvl w:val="2"/>
      </w:pPr>
      <w:r>
        <w:rPr>
          <w:rFonts w:ascii="仿宋_GB2312" w:hAnsi="仿宋_GB2312" w:cs="仿宋_GB2312" w:eastAsia="仿宋_GB2312"/>
          <w:sz w:val="28"/>
          <w:b/>
        </w:rPr>
        <w:t>1.6.磋商文件获取时间、方式及地址</w:t>
      </w:r>
    </w:p>
    <w:p>
      <w:pPr>
        <w:pStyle w:val="null5"/>
        <w:ind w:firstLine="480"/>
        <w:jc w:val="left"/>
      </w:pPr>
      <w:r>
        <w:rPr>
          <w:rFonts w:ascii="仿宋_GB2312" w:hAnsi="仿宋_GB2312" w:cs="仿宋_GB2312" w:eastAsia="仿宋_GB2312"/>
        </w:rPr>
        <w:t>一、磋商文件获取时间、方式及地址：详见采购公告。</w:t>
      </w:r>
    </w:p>
    <w:p>
      <w:pPr>
        <w:pStyle w:val="null5"/>
        <w:ind w:firstLine="480"/>
        <w:jc w:val="both"/>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5"/>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1.7.提交响应文件截止时间及开启时间、方式、地点</w:t>
      </w:r>
    </w:p>
    <w:p>
      <w:pPr>
        <w:pStyle w:val="null5"/>
        <w:ind w:firstLine="480"/>
        <w:jc w:val="left"/>
      </w:pPr>
      <w:r>
        <w:rPr>
          <w:rFonts w:ascii="仿宋_GB2312" w:hAnsi="仿宋_GB2312" w:cs="仿宋_GB2312" w:eastAsia="仿宋_GB2312"/>
        </w:rPr>
        <w:t>一、提交响应文件截止时间及开启时间、方式、地点：详见采购公告。</w:t>
      </w:r>
    </w:p>
    <w:p>
      <w:pPr>
        <w:pStyle w:val="null5"/>
        <w:ind w:firstLine="480"/>
        <w:jc w:val="left"/>
      </w:pPr>
      <w:r>
        <w:rPr>
          <w:rFonts w:ascii="仿宋_GB2312" w:hAnsi="仿宋_GB2312" w:cs="仿宋_GB2312" w:eastAsia="仿宋_GB2312"/>
        </w:rPr>
        <w:t>二、供应商应当在提交响应文件截止时间前，通过交易系统提交响应文件。成功提交的，供应商将收到已提交响应文件的回执单。</w:t>
      </w:r>
    </w:p>
    <w:p>
      <w:pPr>
        <w:pStyle w:val="null5"/>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5"/>
        <w:ind w:firstLine="480"/>
        <w:jc w:val="left"/>
        <w:outlineLvl w:val="2"/>
      </w:pPr>
      <w:r>
        <w:rPr>
          <w:rFonts w:ascii="仿宋_GB2312" w:hAnsi="仿宋_GB2312" w:cs="仿宋_GB2312" w:eastAsia="仿宋_GB2312"/>
          <w:sz w:val="28"/>
          <w:b/>
        </w:rPr>
        <w:t>1.8.电子化采购相关事项</w:t>
      </w:r>
    </w:p>
    <w:p>
      <w:pPr>
        <w:pStyle w:val="null5"/>
        <w:ind w:firstLine="480"/>
        <w:jc w:val="left"/>
      </w:pPr>
      <w:r>
        <w:rPr>
          <w:rFonts w:ascii="仿宋_GB2312" w:hAnsi="仿宋_GB2312" w:cs="仿宋_GB2312" w:eastAsia="仿宋_GB2312"/>
        </w:rPr>
        <w:t>本项目实行电子化采购，供应商应当按照以下要求，参与本次电子化采购活动。</w:t>
      </w:r>
    </w:p>
    <w:p>
      <w:pPr>
        <w:pStyle w:val="null5"/>
        <w:ind w:firstLine="480"/>
        <w:jc w:val="left"/>
      </w:pPr>
      <w:r>
        <w:rPr>
          <w:rFonts w:ascii="仿宋_GB2312" w:hAnsi="仿宋_GB2312" w:cs="仿宋_GB2312" w:eastAsia="仿宋_GB2312"/>
        </w:rPr>
        <w:t>一、供应商参与本项目电子化采购活动的范围主要包括：获取磋商文件，编制、签章、加密并提交响应文件，参加开启、解密响应文件和电子评审等。</w:t>
      </w:r>
    </w:p>
    <w:p>
      <w:pPr>
        <w:pStyle w:val="null5"/>
        <w:ind w:firstLine="480"/>
        <w:jc w:val="left"/>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山东省政府采购电子交易系统供应商操作手册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山东石油化工学院</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东营市东营区北二路500号</w:t>
      </w:r>
    </w:p>
    <w:p>
      <w:pPr>
        <w:pStyle w:val="null5"/>
      </w:pPr>
      <w:r>
        <w:rPr>
          <w:rFonts w:ascii="仿宋_GB2312" w:hAnsi="仿宋_GB2312" w:cs="仿宋_GB2312" w:eastAsia="仿宋_GB2312"/>
        </w:rPr>
        <w:t xml:space="preserve"> 邮编： </w:t>
      </w:r>
      <w:r>
        <w:rPr>
          <w:rFonts w:ascii="仿宋_GB2312" w:hAnsi="仿宋_GB2312" w:cs="仿宋_GB2312" w:eastAsia="仿宋_GB2312"/>
        </w:rPr>
        <w:t>257061</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山东石油化工学院</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0546-7396500</w:t>
      </w:r>
    </w:p>
    <w:p>
      <w:pPr>
        <w:pStyle w:val="null5"/>
        <w:ind w:firstLine="480"/>
        <w:jc w:val="left"/>
      </w:pPr>
      <w:r>
        <w:rPr>
          <w:rFonts w:ascii="仿宋_GB2312" w:hAnsi="仿宋_GB2312" w:cs="仿宋_GB2312" w:eastAsia="仿宋_GB2312"/>
        </w:rPr>
        <w:t xml:space="preserve">代理机构： </w:t>
      </w:r>
      <w:r>
        <w:rPr>
          <w:rFonts w:ascii="仿宋_GB2312" w:hAnsi="仿宋_GB2312" w:cs="仿宋_GB2312" w:eastAsia="仿宋_GB2312"/>
        </w:rPr>
        <w:t>山东华标招标有限公司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东营市海通创客中心1号楼</w:t>
      </w:r>
    </w:p>
    <w:p>
      <w:pPr>
        <w:pStyle w:val="null5"/>
      </w:pPr>
      <w:r>
        <w:rPr>
          <w:rFonts w:ascii="仿宋_GB2312" w:hAnsi="仿宋_GB2312" w:cs="仿宋_GB2312" w:eastAsia="仿宋_GB2312"/>
        </w:rPr>
        <w:t xml:space="preserve"> 邮编： </w:t>
      </w:r>
      <w:r>
        <w:rPr>
          <w:rFonts w:ascii="仿宋_GB2312" w:hAnsi="仿宋_GB2312" w:cs="仿宋_GB2312" w:eastAsia="仿宋_GB2312"/>
        </w:rPr>
        <w:t>257100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印女士</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0546-8036663</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ind w:firstLine="480"/>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采购包1：606,212.00元</w:t>
            </w:r>
          </w:p>
          <w:p>
            <w:pPr>
              <w:pStyle w:val="null5"/>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评审方法</w:t>
            </w:r>
          </w:p>
        </w:tc>
        <w:tc>
          <w:tcPr>
            <w:tcW w:type="dxa" w:w="5814"/>
          </w:tcPr>
          <w:p>
            <w:pPr>
              <w:pStyle w:val="null5"/>
              <w:jc w:val="left"/>
            </w:pPr>
            <w:r>
              <w:rPr>
                <w:rFonts w:ascii="仿宋_GB2312" w:hAnsi="仿宋_GB2312" w:cs="仿宋_GB2312" w:eastAsia="仿宋_GB2312"/>
              </w:rPr>
              <w:t>综合评分法 （具体规则详见第五章）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 xml:space="preserve"> 如接受联合体，需符合以下要求：</w:t>
            </w:r>
          </w:p>
          <w:p>
            <w:pPr>
              <w:pStyle w:val="null5"/>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是否为特殊性质项目</w:t>
            </w:r>
          </w:p>
        </w:tc>
        <w:tc>
          <w:tcPr>
            <w:tcW w:type="dxa" w:w="5814"/>
          </w:tcPr>
          <w:p>
            <w:pPr>
              <w:pStyle w:val="null5"/>
              <w:jc w:val="left"/>
            </w:pPr>
            <w:r>
              <w:rPr>
                <w:rFonts w:ascii="仿宋_GB2312" w:hAnsi="仿宋_GB2312" w:cs="仿宋_GB2312" w:eastAsia="仿宋_GB2312"/>
              </w:rPr>
              <w:t>政府购买服务项目（含政府和社会资本合作项目）：</w:t>
            </w:r>
          </w:p>
          <w:p>
            <w:pPr>
              <w:pStyle w:val="null5"/>
              <w:jc w:val="left"/>
            </w:pPr>
            <w:r>
              <w:rPr>
                <w:rFonts w:ascii="仿宋_GB2312" w:hAnsi="仿宋_GB2312" w:cs="仿宋_GB2312" w:eastAsia="仿宋_GB2312"/>
              </w:rPr>
              <w:t xml:space="preserve"> 市场竞争不充分的科研项目：</w:t>
            </w:r>
          </w:p>
          <w:p>
            <w:pPr>
              <w:pStyle w:val="null5"/>
              <w:jc w:val="left"/>
            </w:pPr>
            <w:r>
              <w:rPr>
                <w:rFonts w:ascii="仿宋_GB2312" w:hAnsi="仿宋_GB2312" w:cs="仿宋_GB2312" w:eastAsia="仿宋_GB2312"/>
              </w:rPr>
              <w:t xml:space="preserve"> 需要扶持的科技成果转化项目：</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采购包1：不缴纳</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响应有效期</w:t>
            </w:r>
          </w:p>
        </w:tc>
        <w:tc>
          <w:tcPr>
            <w:tcW w:type="dxa" w:w="5814"/>
          </w:tcPr>
          <w:p>
            <w:pPr>
              <w:pStyle w:val="null5"/>
              <w:jc w:val="left"/>
            </w:pPr>
            <w:r>
              <w:rPr>
                <w:rFonts w:ascii="仿宋_GB2312" w:hAnsi="仿宋_GB2312" w:cs="仿宋_GB2312" w:eastAsia="仿宋_GB2312"/>
              </w:rPr>
              <w:t>自响应文件提交截止之日起有效期为90日。响应文件未明确响应有效期或者少于前述规定天数的，其响应文件按无效响应处理。</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代理服务费收费标准：参照国家发展计划委员会计价格[2002]1980号文和国家发改委发改办价格[2003]857号文的规定下浮40%。</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采购结果将在“中国山东政府采购网”予以公告。</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兼投不兼中</w:t>
            </w:r>
          </w:p>
        </w:tc>
        <w:tc>
          <w:tcPr>
            <w:tcW w:type="dxa" w:w="5814"/>
          </w:tcPr>
          <w:p>
            <w:pPr>
              <w:pStyle w:val="null5"/>
              <w:jc w:val="left"/>
            </w:pPr>
            <w:r>
              <w:rPr>
                <w:rFonts w:ascii="仿宋_GB2312" w:hAnsi="仿宋_GB2312" w:cs="仿宋_GB2312" w:eastAsia="仿宋_GB2312"/>
              </w:rPr>
              <w:t>本项目不涉及。</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 xml:space="preserve"> 一、交易系统发生故障（包括感染病毒、应用或数据库出错）而无法正常使用的；</w:t>
            </w:r>
          </w:p>
          <w:p>
            <w:pPr>
              <w:pStyle w:val="null5"/>
              <w:jc w:val="left"/>
            </w:pPr>
            <w:r>
              <w:rPr>
                <w:rFonts w:ascii="仿宋_GB2312" w:hAnsi="仿宋_GB2312" w:cs="仿宋_GB2312" w:eastAsia="仿宋_GB2312"/>
              </w:rPr>
              <w:t xml:space="preserve"> 二、因组织场所停电、断网等原因，导致采购活动无法继续通过交易系统实施的；</w:t>
            </w:r>
          </w:p>
          <w:p>
            <w:pPr>
              <w:pStyle w:val="null5"/>
              <w:jc w:val="left"/>
            </w:pPr>
            <w:r>
              <w:rPr>
                <w:rFonts w:ascii="仿宋_GB2312" w:hAnsi="仿宋_GB2312" w:cs="仿宋_GB2312" w:eastAsia="仿宋_GB2312"/>
              </w:rPr>
              <w:t xml:space="preserve"> 三、其他无法保证电子化交易的公平、公正和安全的情况。</w:t>
            </w:r>
          </w:p>
          <w:p>
            <w:pPr>
              <w:pStyle w:val="null5"/>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 xml:space="preserve"> 注：</w:t>
            </w:r>
          </w:p>
          <w:p>
            <w:pPr>
              <w:pStyle w:val="null5"/>
              <w:jc w:val="left"/>
            </w:pPr>
            <w:r>
              <w:rPr>
                <w:rFonts w:ascii="仿宋_GB2312" w:hAnsi="仿宋_GB2312" w:cs="仿宋_GB2312" w:eastAsia="仿宋_GB2312"/>
              </w:rPr>
              <w:t xml:space="preserve"> 1.平台系统故障认定以“中国山东政府采购网”发布的系统运维通知内容为准；</w:t>
            </w:r>
          </w:p>
          <w:p>
            <w:pPr>
              <w:pStyle w:val="null5"/>
              <w:jc w:val="left"/>
            </w:pPr>
            <w:r>
              <w:rPr>
                <w:rFonts w:ascii="仿宋_GB2312" w:hAnsi="仿宋_GB2312" w:cs="仿宋_GB2312" w:eastAsia="仿宋_GB2312"/>
              </w:rPr>
              <w:t xml:space="preserve"> 2.故障处理详见第二章规定。</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831"/>
          </w:tcPr>
          <w:p>
            <w:pPr>
              <w:pStyle w:val="null5"/>
              <w:jc w:val="left"/>
            </w:pPr>
            <w:r>
              <w:rPr>
                <w:rFonts w:ascii="仿宋_GB2312" w:hAnsi="仿宋_GB2312" w:cs="仿宋_GB2312" w:eastAsia="仿宋_GB2312"/>
              </w:rPr>
              <w:t>15.</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本磋商文件所称的“以上”、“以下”、“内”、“以内”、“不少于”包括本数；所称的“不足”、“低于”、“超过”不包括本数。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left"/>
      </w:pPr>
      <w:r>
        <w:rPr>
          <w:rFonts w:ascii="仿宋_GB2312" w:hAnsi="仿宋_GB2312" w:cs="仿宋_GB2312" w:eastAsia="仿宋_GB2312"/>
        </w:rPr>
        <w:t>2.2.1.适用范围</w:t>
      </w:r>
    </w:p>
    <w:p>
      <w:pPr>
        <w:pStyle w:val="null5"/>
        <w:ind w:firstLine="480"/>
        <w:jc w:val="left"/>
      </w:pPr>
      <w:r>
        <w:rPr>
          <w:rFonts w:ascii="仿宋_GB2312" w:hAnsi="仿宋_GB2312" w:cs="仿宋_GB2312" w:eastAsia="仿宋_GB2312"/>
        </w:rPr>
        <w:t>一、本磋商文件仅适用于本次竞争性磋商采购项目。</w:t>
      </w:r>
    </w:p>
    <w:p>
      <w:pPr>
        <w:pStyle w:val="null5"/>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山东石油化工学院</w:t>
      </w:r>
      <w:r>
        <w:rPr>
          <w:rFonts w:ascii="仿宋_GB2312" w:hAnsi="仿宋_GB2312" w:cs="仿宋_GB2312" w:eastAsia="仿宋_GB2312"/>
        </w:rPr>
        <w:t xml:space="preserve"> 和 </w:t>
      </w:r>
      <w:r>
        <w:rPr>
          <w:rFonts w:ascii="仿宋_GB2312" w:hAnsi="仿宋_GB2312" w:cs="仿宋_GB2312" w:eastAsia="仿宋_GB2312"/>
        </w:rPr>
        <w:t>山东华标招标有限公司</w:t>
      </w:r>
      <w:r>
        <w:rPr>
          <w:rFonts w:ascii="仿宋_GB2312" w:hAnsi="仿宋_GB2312" w:cs="仿宋_GB2312" w:eastAsia="仿宋_GB2312"/>
        </w:rPr>
        <w:t xml:space="preserve"> 负责解释。</w:t>
      </w:r>
    </w:p>
    <w:p>
      <w:pPr>
        <w:pStyle w:val="null5"/>
        <w:ind w:firstLine="480"/>
        <w:jc w:val="left"/>
      </w:pPr>
      <w:r>
        <w:rPr>
          <w:rFonts w:ascii="仿宋_GB2312" w:hAnsi="仿宋_GB2312" w:cs="仿宋_GB2312" w:eastAsia="仿宋_GB2312"/>
        </w:rPr>
        <w:t>2.2.2.有关定义</w:t>
      </w:r>
    </w:p>
    <w:p>
      <w:pPr>
        <w:pStyle w:val="null5"/>
        <w:ind w:firstLine="480"/>
        <w:jc w:val="left"/>
      </w:pPr>
      <w:r>
        <w:rPr>
          <w:rFonts w:ascii="仿宋_GB2312" w:hAnsi="仿宋_GB2312" w:cs="仿宋_GB2312" w:eastAsia="仿宋_GB2312"/>
        </w:rPr>
        <w:t>一、“采购人”是指依法进行政府采购的国家机关、事业单位、团体组织。本次磋商的采购人是</w:t>
      </w:r>
      <w:r>
        <w:rPr>
          <w:rFonts w:ascii="仿宋_GB2312" w:hAnsi="仿宋_GB2312" w:cs="仿宋_GB2312" w:eastAsia="仿宋_GB2312"/>
        </w:rPr>
        <w:t>山东石油化工学院</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5"/>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山东华标招标有限公司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5"/>
        <w:ind w:firstLine="480"/>
        <w:jc w:val="left"/>
      </w:pPr>
      <w:r>
        <w:rPr>
          <w:rFonts w:ascii="仿宋_GB2312" w:hAnsi="仿宋_GB2312" w:cs="仿宋_GB2312" w:eastAsia="仿宋_GB2312"/>
        </w:rPr>
        <w:t>五、“电子评审”是指磋商小组开展资格审查、符合性审查、磋商、推荐成交候选供应商、出具磋商报告等活动。</w:t>
      </w:r>
    </w:p>
    <w:p>
      <w:pPr>
        <w:pStyle w:val="null5"/>
        <w:ind w:firstLine="480"/>
        <w:jc w:val="left"/>
        <w:outlineLvl w:val="2"/>
      </w:pPr>
      <w:r>
        <w:rPr>
          <w:rFonts w:ascii="仿宋_GB2312" w:hAnsi="仿宋_GB2312" w:cs="仿宋_GB2312" w:eastAsia="仿宋_GB2312"/>
          <w:sz w:val="28"/>
          <w:b/>
        </w:rPr>
        <w:t>2.3.磋商文件</w:t>
      </w:r>
    </w:p>
    <w:p>
      <w:pPr>
        <w:pStyle w:val="null5"/>
        <w:ind w:firstLine="480"/>
        <w:jc w:val="left"/>
      </w:pPr>
      <w:r>
        <w:rPr>
          <w:rFonts w:ascii="仿宋_GB2312" w:hAnsi="仿宋_GB2312" w:cs="仿宋_GB2312" w:eastAsia="仿宋_GB2312"/>
        </w:rPr>
        <w:t>2.3.1.磋商文件的构成</w:t>
      </w:r>
    </w:p>
    <w:p>
      <w:pPr>
        <w:pStyle w:val="null5"/>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5"/>
        <w:ind w:firstLine="480"/>
        <w:jc w:val="left"/>
      </w:pPr>
      <w:r>
        <w:rPr>
          <w:rFonts w:ascii="仿宋_GB2312" w:hAnsi="仿宋_GB2312" w:cs="仿宋_GB2312" w:eastAsia="仿宋_GB2312"/>
        </w:rPr>
        <w:t>一、竞争性磋商邀请；</w:t>
      </w:r>
    </w:p>
    <w:p>
      <w:pPr>
        <w:pStyle w:val="null5"/>
        <w:ind w:firstLine="480"/>
        <w:jc w:val="left"/>
      </w:pPr>
      <w:r>
        <w:rPr>
          <w:rFonts w:ascii="仿宋_GB2312" w:hAnsi="仿宋_GB2312" w:cs="仿宋_GB2312" w:eastAsia="仿宋_GB2312"/>
        </w:rPr>
        <w:t>二、供应商须知；</w:t>
      </w:r>
    </w:p>
    <w:p>
      <w:pPr>
        <w:pStyle w:val="null5"/>
        <w:ind w:firstLine="480"/>
        <w:jc w:val="left"/>
      </w:pPr>
      <w:r>
        <w:rPr>
          <w:rFonts w:ascii="仿宋_GB2312" w:hAnsi="仿宋_GB2312" w:cs="仿宋_GB2312" w:eastAsia="仿宋_GB2312"/>
        </w:rPr>
        <w:t>三、技术、服务及其他要求；</w:t>
      </w:r>
    </w:p>
    <w:p>
      <w:pPr>
        <w:pStyle w:val="null5"/>
        <w:ind w:firstLine="480"/>
        <w:jc w:val="left"/>
      </w:pPr>
      <w:r>
        <w:rPr>
          <w:rFonts w:ascii="仿宋_GB2312" w:hAnsi="仿宋_GB2312" w:cs="仿宋_GB2312" w:eastAsia="仿宋_GB2312"/>
        </w:rPr>
        <w:t>四、磋商过程中可实质性变动的内容；</w:t>
      </w:r>
    </w:p>
    <w:p>
      <w:pPr>
        <w:pStyle w:val="null5"/>
        <w:ind w:firstLine="480"/>
        <w:jc w:val="left"/>
      </w:pPr>
      <w:r>
        <w:rPr>
          <w:rFonts w:ascii="仿宋_GB2312" w:hAnsi="仿宋_GB2312" w:cs="仿宋_GB2312" w:eastAsia="仿宋_GB2312"/>
        </w:rPr>
        <w:t>五、评审办法；</w:t>
      </w:r>
    </w:p>
    <w:p>
      <w:pPr>
        <w:pStyle w:val="null5"/>
        <w:ind w:firstLine="480"/>
        <w:jc w:val="left"/>
      </w:pPr>
      <w:r>
        <w:rPr>
          <w:rFonts w:ascii="仿宋_GB2312" w:hAnsi="仿宋_GB2312" w:cs="仿宋_GB2312" w:eastAsia="仿宋_GB2312"/>
        </w:rPr>
        <w:t>六、响应文件格式；</w:t>
      </w:r>
    </w:p>
    <w:p>
      <w:pPr>
        <w:pStyle w:val="null5"/>
        <w:ind w:firstLine="480"/>
        <w:jc w:val="left"/>
      </w:pPr>
      <w:r>
        <w:rPr>
          <w:rFonts w:ascii="仿宋_GB2312" w:hAnsi="仿宋_GB2312" w:cs="仿宋_GB2312" w:eastAsia="仿宋_GB2312"/>
        </w:rPr>
        <w:t>七、拟签订采购合同文本。</w:t>
      </w:r>
    </w:p>
    <w:p>
      <w:pPr>
        <w:pStyle w:val="null5"/>
        <w:ind w:firstLine="480"/>
        <w:jc w:val="left"/>
      </w:pPr>
      <w:r>
        <w:rPr>
          <w:rFonts w:ascii="仿宋_GB2312" w:hAnsi="仿宋_GB2312" w:cs="仿宋_GB2312" w:eastAsia="仿宋_GB2312"/>
        </w:rPr>
        <w:t>2.3.2.磋商文件的澄清或者修改</w:t>
      </w:r>
    </w:p>
    <w:p>
      <w:pPr>
        <w:pStyle w:val="null5"/>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5"/>
        <w:ind w:firstLine="480"/>
        <w:jc w:val="left"/>
      </w:pPr>
      <w:r>
        <w:rPr>
          <w:rFonts w:ascii="仿宋_GB2312" w:hAnsi="仿宋_GB2312" w:cs="仿宋_GB2312" w:eastAsia="仿宋_GB2312"/>
        </w:rPr>
        <w:t>二、澄清或者修改的内容为磋商文件的组成部分，采购人或者代理机构将在“中国山东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5"/>
        <w:ind w:firstLine="480"/>
        <w:jc w:val="left"/>
      </w:pPr>
      <w:r>
        <w:rPr>
          <w:rFonts w:ascii="仿宋_GB2312" w:hAnsi="仿宋_GB2312" w:cs="仿宋_GB2312" w:eastAsia="仿宋_GB2312"/>
        </w:rPr>
        <w:t>三、供应商根据更正公告、更正信息要求，下载更正后的磋商文件，进行响应文件编制。</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left"/>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5"/>
        <w:ind w:firstLine="480"/>
        <w:jc w:val="left"/>
      </w:pPr>
      <w:r>
        <w:rPr>
          <w:rFonts w:ascii="仿宋_GB2312" w:hAnsi="仿宋_GB2312" w:cs="仿宋_GB2312" w:eastAsia="仿宋_GB2312"/>
        </w:rPr>
        <w:t>（一）供应商的法定代表人为外籍人士的，法定代表人的签字和护照；</w:t>
      </w:r>
    </w:p>
    <w:p>
      <w:pPr>
        <w:pStyle w:val="null5"/>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left"/>
      </w:pPr>
      <w:r>
        <w:rPr>
          <w:rFonts w:ascii="仿宋_GB2312" w:hAnsi="仿宋_GB2312" w:cs="仿宋_GB2312" w:eastAsia="仿宋_GB2312"/>
        </w:rPr>
        <w:t>三、如因未翻译而造成对供应商的不利后果，由供应商承担。</w:t>
      </w:r>
    </w:p>
    <w:p>
      <w:pPr>
        <w:pStyle w:val="null5"/>
        <w:ind w:firstLine="480"/>
        <w:jc w:val="left"/>
      </w:pPr>
      <w:r>
        <w:rPr>
          <w:rFonts w:ascii="仿宋_GB2312" w:hAnsi="仿宋_GB2312" w:cs="仿宋_GB2312" w:eastAsia="仿宋_GB2312"/>
        </w:rPr>
        <w:t>2.4.2.计量单位</w:t>
      </w:r>
    </w:p>
    <w:p>
      <w:pPr>
        <w:pStyle w:val="null5"/>
        <w:ind w:firstLine="480"/>
        <w:jc w:val="left"/>
      </w:pPr>
      <w:r>
        <w:rPr>
          <w:rFonts w:ascii="仿宋_GB2312" w:hAnsi="仿宋_GB2312" w:cs="仿宋_GB2312" w:eastAsia="仿宋_GB2312"/>
        </w:rPr>
        <w:t>除磋商文件中另有规定外，本项目均采用国家法定的计量单位。</w:t>
      </w:r>
    </w:p>
    <w:p>
      <w:pPr>
        <w:pStyle w:val="null5"/>
        <w:ind w:firstLine="480"/>
        <w:jc w:val="left"/>
      </w:pPr>
      <w:r>
        <w:rPr>
          <w:rFonts w:ascii="仿宋_GB2312" w:hAnsi="仿宋_GB2312" w:cs="仿宋_GB2312" w:eastAsia="仿宋_GB2312"/>
        </w:rPr>
        <w:t>2.4.3.响应货币</w:t>
      </w:r>
    </w:p>
    <w:p>
      <w:pPr>
        <w:pStyle w:val="null5"/>
        <w:ind w:firstLine="480"/>
        <w:jc w:val="left"/>
      </w:pPr>
      <w:r>
        <w:rPr>
          <w:rFonts w:ascii="仿宋_GB2312" w:hAnsi="仿宋_GB2312" w:cs="仿宋_GB2312" w:eastAsia="仿宋_GB2312"/>
        </w:rPr>
        <w:t>本项目均以人民币报价。</w:t>
      </w:r>
    </w:p>
    <w:p>
      <w:pPr>
        <w:pStyle w:val="null5"/>
        <w:ind w:firstLine="480"/>
        <w:jc w:val="left"/>
      </w:pPr>
      <w:r>
        <w:rPr>
          <w:rFonts w:ascii="仿宋_GB2312" w:hAnsi="仿宋_GB2312" w:cs="仿宋_GB2312" w:eastAsia="仿宋_GB2312"/>
        </w:rPr>
        <w:t>2.4.4.知识产权</w:t>
      </w:r>
    </w:p>
    <w:p>
      <w:pPr>
        <w:pStyle w:val="null5"/>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5"/>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5"/>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5"/>
        <w:ind w:firstLine="480"/>
        <w:jc w:val="left"/>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5"/>
        <w:ind w:firstLine="480"/>
        <w:jc w:val="left"/>
      </w:pPr>
      <w:r>
        <w:rPr>
          <w:rFonts w:ascii="仿宋_GB2312" w:hAnsi="仿宋_GB2312" w:cs="仿宋_GB2312" w:eastAsia="仿宋_GB2312"/>
        </w:rPr>
        <w:t>2.4.6.响应文件的编制、签章和加密</w:t>
      </w:r>
    </w:p>
    <w:p>
      <w:pPr>
        <w:pStyle w:val="null5"/>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5"/>
        <w:ind w:firstLine="480"/>
        <w:jc w:val="left"/>
      </w:pPr>
      <w:r>
        <w:rPr>
          <w:rFonts w:ascii="仿宋_GB2312" w:hAnsi="仿宋_GB2312" w:cs="仿宋_GB2312" w:eastAsia="仿宋_GB2312"/>
        </w:rPr>
        <w:t>二、供应商使用投标（响应）客户端编制响应文件，完成响应文件编制、加盖电子印章和加密。</w:t>
      </w:r>
    </w:p>
    <w:p>
      <w:pPr>
        <w:pStyle w:val="null5"/>
        <w:ind w:firstLine="480"/>
        <w:jc w:val="left"/>
      </w:pPr>
      <w:r>
        <w:rPr>
          <w:rFonts w:ascii="仿宋_GB2312" w:hAnsi="仿宋_GB2312" w:cs="仿宋_GB2312" w:eastAsia="仿宋_GB2312"/>
        </w:rPr>
        <w:t>2.4.7.响应文件的提交</w:t>
      </w:r>
    </w:p>
    <w:p>
      <w:pPr>
        <w:pStyle w:val="null5"/>
        <w:ind w:firstLine="480"/>
        <w:jc w:val="both"/>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5"/>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5"/>
        <w:ind w:firstLine="480"/>
        <w:jc w:val="both"/>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5"/>
        <w:ind w:firstLine="480"/>
        <w:jc w:val="left"/>
      </w:pPr>
      <w:r>
        <w:rPr>
          <w:rFonts w:ascii="仿宋_GB2312" w:hAnsi="仿宋_GB2312" w:cs="仿宋_GB2312" w:eastAsia="仿宋_GB2312"/>
        </w:rPr>
        <w:t>2.4.8.响应文件的补充、修改、撤回</w:t>
      </w:r>
    </w:p>
    <w:p>
      <w:pPr>
        <w:pStyle w:val="null5"/>
        <w:jc w:val="both"/>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5"/>
        <w:ind w:firstLine="480"/>
        <w:jc w:val="left"/>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2.5.开启、评审和确定成交供应商</w:t>
      </w:r>
    </w:p>
    <w:p>
      <w:pPr>
        <w:pStyle w:val="null5"/>
        <w:ind w:firstLine="480"/>
        <w:jc w:val="left"/>
      </w:pPr>
      <w:r>
        <w:rPr>
          <w:rFonts w:ascii="仿宋_GB2312" w:hAnsi="仿宋_GB2312" w:cs="仿宋_GB2312" w:eastAsia="仿宋_GB2312"/>
        </w:rPr>
        <w:t>2.5.1.开启</w:t>
      </w:r>
    </w:p>
    <w:p>
      <w:pPr>
        <w:pStyle w:val="null5"/>
        <w:ind w:firstLine="480"/>
        <w:jc w:val="left"/>
      </w:pPr>
      <w:r>
        <w:rPr>
          <w:rFonts w:ascii="仿宋_GB2312" w:hAnsi="仿宋_GB2312" w:cs="仿宋_GB2312" w:eastAsia="仿宋_GB2312"/>
        </w:rPr>
        <w:t>2.5.1.1.开启程序</w:t>
      </w:r>
    </w:p>
    <w:p>
      <w:pPr>
        <w:pStyle w:val="null5"/>
        <w:ind w:firstLine="480"/>
        <w:jc w:val="left"/>
      </w:pPr>
      <w:r>
        <w:rPr>
          <w:rFonts w:ascii="仿宋_GB2312" w:hAnsi="仿宋_GB2312" w:cs="仿宋_GB2312" w:eastAsia="仿宋_GB2312"/>
        </w:rPr>
        <w:t>提交响应文件截止时间后，通过交易系统“开标/开启大厅”网上开启解密响应文件。</w:t>
      </w:r>
    </w:p>
    <w:p>
      <w:pPr>
        <w:pStyle w:val="null5"/>
        <w:ind w:firstLine="480"/>
        <w:jc w:val="left"/>
      </w:pPr>
      <w:r>
        <w:rPr>
          <w:rFonts w:ascii="仿宋_GB2312" w:hAnsi="仿宋_GB2312" w:cs="仿宋_GB2312" w:eastAsia="仿宋_GB2312"/>
        </w:rPr>
        <w:t>2.5.1.2.解密响应文件</w:t>
      </w:r>
    </w:p>
    <w:p>
      <w:pPr>
        <w:pStyle w:val="null5"/>
        <w:ind w:firstLine="480"/>
        <w:jc w:val="both"/>
      </w:pPr>
      <w:r>
        <w:rPr>
          <w:rFonts w:ascii="仿宋_GB2312" w:hAnsi="仿宋_GB2312" w:cs="仿宋_GB2312" w:eastAsia="仿宋_GB2312"/>
        </w:rPr>
        <w:t>提交响应文件截止时间后，成功提交响应文件的供应商符合磋商文件规定数量的，代理机构将启动响应文件解密程序，供应商应在规定的解密时间内，使用加密响应文件的数字证书进行响应文件解密。除因平台系统故障导致供应商未按时完成解密外，供应商未在规定的解密时间内完成解密的，按无效响应处理。</w:t>
      </w:r>
    </w:p>
    <w:p>
      <w:pPr>
        <w:pStyle w:val="null5"/>
        <w:ind w:firstLine="480"/>
        <w:jc w:val="left"/>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5"/>
        <w:ind w:firstLine="480"/>
        <w:jc w:val="left"/>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5"/>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5"/>
        <w:ind w:firstLine="480"/>
        <w:jc w:val="left"/>
      </w:pPr>
      <w:r>
        <w:rPr>
          <w:rFonts w:ascii="仿宋_GB2312" w:hAnsi="仿宋_GB2312" w:cs="仿宋_GB2312" w:eastAsia="仿宋_GB2312"/>
        </w:rPr>
        <w:t>2.5.3.评审</w:t>
      </w:r>
    </w:p>
    <w:p>
      <w:pPr>
        <w:pStyle w:val="null5"/>
        <w:ind w:firstLine="480"/>
        <w:jc w:val="left"/>
      </w:pPr>
      <w:r>
        <w:rPr>
          <w:rFonts w:ascii="仿宋_GB2312" w:hAnsi="仿宋_GB2312" w:cs="仿宋_GB2312" w:eastAsia="仿宋_GB2312"/>
        </w:rPr>
        <w:t>详见磋商文件第五章。</w:t>
      </w:r>
    </w:p>
    <w:p>
      <w:pPr>
        <w:pStyle w:val="null5"/>
        <w:ind w:firstLine="480"/>
        <w:jc w:val="left"/>
      </w:pPr>
      <w:r>
        <w:rPr>
          <w:rFonts w:ascii="仿宋_GB2312" w:hAnsi="仿宋_GB2312" w:cs="仿宋_GB2312" w:eastAsia="仿宋_GB2312"/>
        </w:rPr>
        <w:t>2.5.4.成交通知书</w:t>
      </w:r>
    </w:p>
    <w:p>
      <w:pPr>
        <w:pStyle w:val="null5"/>
        <w:ind w:firstLine="480"/>
        <w:jc w:val="left"/>
      </w:pPr>
      <w:r>
        <w:rPr>
          <w:rFonts w:ascii="仿宋_GB2312" w:hAnsi="仿宋_GB2312" w:cs="仿宋_GB2312" w:eastAsia="仿宋_GB2312"/>
        </w:rPr>
        <w:t>一、采购人或者磋商小组确认成交供应商后，代理机构在“中国山东政府采购网”发布成交结果公告、通过交易系统发出成交通知书，成交供应商通过交易系统获取成交通知书。</w:t>
      </w:r>
    </w:p>
    <w:p>
      <w:pPr>
        <w:pStyle w:val="null5"/>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5"/>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left"/>
      </w:pPr>
      <w:r>
        <w:rPr>
          <w:rFonts w:ascii="仿宋_GB2312" w:hAnsi="仿宋_GB2312" w:cs="仿宋_GB2312" w:eastAsia="仿宋_GB2312"/>
        </w:rPr>
        <w:t>2.6.1.签订合同</w:t>
      </w:r>
    </w:p>
    <w:p>
      <w:pPr>
        <w:pStyle w:val="null5"/>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5"/>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5"/>
        <w:ind w:firstLine="480"/>
        <w:jc w:val="left"/>
      </w:pPr>
      <w:r>
        <w:rPr>
          <w:rFonts w:ascii="仿宋_GB2312" w:hAnsi="仿宋_GB2312" w:cs="仿宋_GB2312" w:eastAsia="仿宋_GB2312"/>
        </w:rPr>
        <w:t>三、政府采购合同自采购人和成交供应商在书面合同上签章之日起生效。</w:t>
      </w:r>
    </w:p>
    <w:p>
      <w:pPr>
        <w:pStyle w:val="null5"/>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5"/>
        <w:ind w:firstLine="480"/>
        <w:jc w:val="left"/>
      </w:pPr>
      <w:r>
        <w:rPr>
          <w:rFonts w:ascii="仿宋_GB2312" w:hAnsi="仿宋_GB2312" w:cs="仿宋_GB2312" w:eastAsia="仿宋_GB2312"/>
        </w:rPr>
        <w:t>2.6.2.政府采购合同公告、备案</w:t>
      </w:r>
    </w:p>
    <w:p>
      <w:pPr>
        <w:pStyle w:val="null5"/>
        <w:ind w:firstLine="480"/>
        <w:jc w:val="left"/>
      </w:pPr>
      <w:r>
        <w:rPr>
          <w:rFonts w:ascii="仿宋_GB2312" w:hAnsi="仿宋_GB2312" w:cs="仿宋_GB2312" w:eastAsia="仿宋_GB2312"/>
        </w:rPr>
        <w:t>政府采购合同签订之日起2个工作日内，采购人将政府采购合同在“中国山东政府采购网”予以公告；政府采购合同签订之日起7个工作日内，采购人将政府采购合同报项目同级财政部门备案。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left"/>
      </w:pPr>
      <w:r>
        <w:rPr>
          <w:rFonts w:ascii="仿宋_GB2312" w:hAnsi="仿宋_GB2312" w:cs="仿宋_GB2312" w:eastAsia="仿宋_GB2312"/>
        </w:rPr>
        <w:t>2.6.3.合同分包和转包</w:t>
      </w:r>
    </w:p>
    <w:p>
      <w:pPr>
        <w:pStyle w:val="null5"/>
        <w:ind w:firstLine="480"/>
        <w:jc w:val="left"/>
      </w:pPr>
      <w:r>
        <w:rPr>
          <w:rFonts w:ascii="仿宋_GB2312" w:hAnsi="仿宋_GB2312" w:cs="仿宋_GB2312" w:eastAsia="仿宋_GB2312"/>
        </w:rPr>
        <w:t>2.6.3.1.合同分包</w:t>
      </w:r>
    </w:p>
    <w:p>
      <w:pPr>
        <w:pStyle w:val="null5"/>
        <w:jc w:val="left"/>
      </w:pPr>
      <w:r>
        <w:rPr>
          <w:rFonts w:ascii="仿宋_GB2312" w:hAnsi="仿宋_GB2312" w:cs="仿宋_GB2312" w:eastAsia="仿宋_GB2312"/>
        </w:rPr>
        <w:t>采购包1：不允许分包；</w:t>
      </w:r>
    </w:p>
    <w:p>
      <w:pPr>
        <w:pStyle w:val="null5"/>
        <w:ind w:firstLine="480"/>
        <w:jc w:val="left"/>
      </w:pPr>
      <w:r>
        <w:rPr>
          <w:rFonts w:ascii="仿宋_GB2312" w:hAnsi="仿宋_GB2312" w:cs="仿宋_GB2312" w:eastAsia="仿宋_GB2312"/>
        </w:rPr>
        <w:t>注：</w:t>
      </w:r>
    </w:p>
    <w:p>
      <w:pPr>
        <w:pStyle w:val="null5"/>
        <w:ind w:firstLine="480"/>
        <w:jc w:val="left"/>
      </w:pPr>
      <w:r>
        <w:rPr>
          <w:rFonts w:ascii="仿宋_GB2312" w:hAnsi="仿宋_GB2312" w:cs="仿宋_GB2312" w:eastAsia="仿宋_GB2312"/>
        </w:rPr>
        <w:t>1.供应商根据磋商文件的规定和采购项目的实际情况，拟在成交后将成交项目的非主体、非关键性工作分包的，应当在响应文件中载明分包承担主体，分包承担主体应当具备相应资质条件且不得再次分包。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5"/>
        <w:ind w:firstLine="480"/>
        <w:jc w:val="left"/>
      </w:pPr>
      <w:r>
        <w:rPr>
          <w:rFonts w:ascii="仿宋_GB2312" w:hAnsi="仿宋_GB2312" w:cs="仿宋_GB2312" w:eastAsia="仿宋_GB2312"/>
        </w:rPr>
        <w:t>2.采购合同实行分包履行的，成交供应商就采购项目和分包项目向采购人负责，分包供应商就分包项目承担责任。</w:t>
      </w:r>
    </w:p>
    <w:p>
      <w:pPr>
        <w:pStyle w:val="null5"/>
        <w:ind w:firstLine="480"/>
        <w:jc w:val="left"/>
      </w:pPr>
      <w:r>
        <w:rPr>
          <w:rFonts w:ascii="仿宋_GB2312" w:hAnsi="仿宋_GB2312" w:cs="仿宋_GB2312" w:eastAsia="仿宋_GB2312"/>
        </w:rPr>
        <w:t>3.中小企业依据《政府采购促进中小企业发展管理办法》（财库〔2020〕46号）规定的政策获取政府采购合同后，小型、微型企业不得将合同分包给大型、中型企业，中型企业不得将合同分包给大型企业。</w:t>
      </w:r>
    </w:p>
    <w:p>
      <w:pPr>
        <w:pStyle w:val="null5"/>
        <w:ind w:firstLine="480"/>
        <w:jc w:val="left"/>
      </w:pPr>
      <w:r>
        <w:rPr>
          <w:rFonts w:ascii="仿宋_GB2312" w:hAnsi="仿宋_GB2312" w:cs="仿宋_GB2312" w:eastAsia="仿宋_GB2312"/>
        </w:rPr>
        <w:t>2.6.3.2.合同转包</w:t>
      </w:r>
    </w:p>
    <w:p>
      <w:pPr>
        <w:pStyle w:val="null5"/>
        <w:ind w:firstLine="480"/>
        <w:jc w:val="left"/>
      </w:pPr>
      <w:r>
        <w:rPr>
          <w:rFonts w:ascii="仿宋_GB2312" w:hAnsi="仿宋_GB2312" w:cs="仿宋_GB2312" w:eastAsia="仿宋_GB2312"/>
        </w:rPr>
        <w:t>一、严禁成交供应商将本项目合同转包。</w:t>
      </w:r>
    </w:p>
    <w:p>
      <w:pPr>
        <w:pStyle w:val="null5"/>
        <w:ind w:firstLine="480"/>
        <w:jc w:val="left"/>
      </w:pPr>
      <w:r>
        <w:rPr>
          <w:rFonts w:ascii="仿宋_GB2312" w:hAnsi="仿宋_GB2312" w:cs="仿宋_GB2312" w:eastAsia="仿宋_GB2312"/>
        </w:rPr>
        <w:t>二、成交供应商将合同转包的，将依法追究法律责任。</w:t>
      </w:r>
    </w:p>
    <w:p>
      <w:pPr>
        <w:pStyle w:val="null5"/>
        <w:ind w:firstLine="480"/>
        <w:jc w:val="left"/>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5"/>
        <w:ind w:firstLine="480"/>
        <w:jc w:val="left"/>
      </w:pPr>
      <w:r>
        <w:rPr>
          <w:rFonts w:ascii="仿宋_GB2312" w:hAnsi="仿宋_GB2312" w:cs="仿宋_GB2312" w:eastAsia="仿宋_GB2312"/>
        </w:rPr>
        <w:t>2.6.5.履行合同</w:t>
      </w:r>
    </w:p>
    <w:p>
      <w:pPr>
        <w:pStyle w:val="null5"/>
        <w:ind w:firstLine="480"/>
        <w:jc w:val="left"/>
      </w:pPr>
      <w:r>
        <w:rPr>
          <w:rFonts w:ascii="仿宋_GB2312" w:hAnsi="仿宋_GB2312" w:cs="仿宋_GB2312" w:eastAsia="仿宋_GB2312"/>
        </w:rPr>
        <w:t>一、采购人与成交供应商应当根据合同的约定依法履行合同义务。</w:t>
      </w:r>
    </w:p>
    <w:p>
      <w:pPr>
        <w:pStyle w:val="null5"/>
        <w:ind w:firstLine="480"/>
        <w:jc w:val="left"/>
      </w:pPr>
      <w:r>
        <w:rPr>
          <w:rFonts w:ascii="仿宋_GB2312" w:hAnsi="仿宋_GB2312" w:cs="仿宋_GB2312" w:eastAsia="仿宋_GB2312"/>
        </w:rPr>
        <w:t>二、政府采购合同的履行、违约责任和解决争议的方法等适用《中华人民共和国民法典》。</w:t>
      </w:r>
    </w:p>
    <w:p>
      <w:pPr>
        <w:pStyle w:val="null5"/>
        <w:ind w:firstLine="480"/>
        <w:jc w:val="left"/>
      </w:pPr>
      <w:r>
        <w:rPr>
          <w:rFonts w:ascii="仿宋_GB2312" w:hAnsi="仿宋_GB2312" w:cs="仿宋_GB2312" w:eastAsia="仿宋_GB2312"/>
        </w:rPr>
        <w:t>2.6.6.履约验收方案</w:t>
      </w:r>
    </w:p>
    <w:p>
      <w:pPr>
        <w:pStyle w:val="null5"/>
        <w:ind w:firstLine="480"/>
        <w:jc w:val="left"/>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left"/>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left"/>
      </w:pPr>
      <w:r>
        <w:rPr>
          <w:rFonts w:ascii="仿宋_GB2312" w:hAnsi="仿宋_GB2312" w:cs="仿宋_GB2312" w:eastAsia="仿宋_GB2312"/>
        </w:rPr>
        <w:t>三、履约验收时间：</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供应商向采购⼈提交项⽬验收申请后，经采购⼈确认达到验收条件的，采购⼈按项⽬的相关规定启动项⽬验收。</w:t>
      </w:r>
    </w:p>
    <w:p>
      <w:pPr>
        <w:pStyle w:val="null5"/>
        <w:ind w:firstLine="480"/>
        <w:jc w:val="left"/>
      </w:pPr>
      <w:r>
        <w:rPr>
          <w:rFonts w:ascii="仿宋_GB2312" w:hAnsi="仿宋_GB2312" w:cs="仿宋_GB2312" w:eastAsia="仿宋_GB2312"/>
        </w:rPr>
        <w:t>四、验收组织的其他事项：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按照合同条款和项目需求，由采购人进行验收，参照《山东省政府采购履约验收管理办法》</w:t>
      </w:r>
    </w:p>
    <w:p>
      <w:pPr>
        <w:pStyle w:val="null5"/>
        <w:ind w:firstLine="480"/>
        <w:jc w:val="left"/>
      </w:pPr>
      <w:r>
        <w:rPr>
          <w:rFonts w:ascii="仿宋_GB2312" w:hAnsi="仿宋_GB2312" w:cs="仿宋_GB2312" w:eastAsia="仿宋_GB2312"/>
        </w:rPr>
        <w:t>五、技术履约验收内容：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left"/>
      </w:pPr>
      <w:r>
        <w:rPr>
          <w:rFonts w:ascii="仿宋_GB2312" w:hAnsi="仿宋_GB2312" w:cs="仿宋_GB2312" w:eastAsia="仿宋_GB2312"/>
        </w:rPr>
        <w:t>六、商务履约验收内容：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left"/>
      </w:pPr>
      <w:r>
        <w:rPr>
          <w:rFonts w:ascii="仿宋_GB2312" w:hAnsi="仿宋_GB2312" w:cs="仿宋_GB2312" w:eastAsia="仿宋_GB2312"/>
        </w:rPr>
        <w:t>七、履约验收标准：</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按照合同条款和项目需求，由采购人进行验收，参照《山东省政府采购履约验收管理办法》。</w:t>
      </w:r>
    </w:p>
    <w:p>
      <w:pPr>
        <w:pStyle w:val="null5"/>
        <w:ind w:firstLine="480"/>
        <w:jc w:val="left"/>
      </w:pPr>
      <w:r>
        <w:rPr>
          <w:rFonts w:ascii="仿宋_GB2312" w:hAnsi="仿宋_GB2312" w:cs="仿宋_GB2312" w:eastAsia="仿宋_GB2312"/>
        </w:rPr>
        <w:t>八、履约验收其他事项：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5"/>
        <w:ind w:firstLine="480"/>
        <w:jc w:val="left"/>
      </w:pPr>
      <w:r>
        <w:rPr>
          <w:rFonts w:ascii="仿宋_GB2312" w:hAnsi="仿宋_GB2312" w:cs="仿宋_GB2312" w:eastAsia="仿宋_GB2312"/>
        </w:rPr>
        <w:t>2.6.7.资金支付</w:t>
      </w:r>
    </w:p>
    <w:p>
      <w:pPr>
        <w:pStyle w:val="null5"/>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left"/>
      </w:pPr>
      <w:r>
        <w:rPr>
          <w:rFonts w:ascii="仿宋_GB2312" w:hAnsi="仿宋_GB2312" w:cs="仿宋_GB2312" w:eastAsia="仿宋_GB2312"/>
        </w:rPr>
        <w:t>2.7.1.保密要求</w:t>
      </w:r>
    </w:p>
    <w:p>
      <w:pPr>
        <w:pStyle w:val="null5"/>
        <w:ind w:firstLine="480"/>
        <w:jc w:val="left"/>
      </w:pPr>
      <w:r>
        <w:rPr>
          <w:rFonts w:ascii="仿宋_GB2312" w:hAnsi="仿宋_GB2312" w:cs="仿宋_GB2312" w:eastAsia="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pPr>
        <w:pStyle w:val="null5"/>
        <w:ind w:firstLine="480"/>
        <w:jc w:val="left"/>
      </w:pPr>
      <w:r>
        <w:rPr>
          <w:rFonts w:ascii="仿宋_GB2312" w:hAnsi="仿宋_GB2312" w:cs="仿宋_GB2312" w:eastAsia="仿宋_GB2312"/>
        </w:rPr>
        <w:t>有关人员对评审情况以及在评审过程中获悉的国家秘密、商业秘密负有保密责任。</w:t>
      </w:r>
    </w:p>
    <w:p>
      <w:pPr>
        <w:pStyle w:val="null5"/>
        <w:ind w:firstLine="480"/>
        <w:jc w:val="left"/>
      </w:pPr>
      <w:r>
        <w:rPr>
          <w:rFonts w:ascii="仿宋_GB2312" w:hAnsi="仿宋_GB2312" w:cs="仿宋_GB2312" w:eastAsia="仿宋_GB2312"/>
        </w:rPr>
        <w:t>2.7.2.供应商不得具有的情形</w:t>
      </w:r>
    </w:p>
    <w:p>
      <w:pPr>
        <w:pStyle w:val="null5"/>
        <w:ind w:firstLine="480"/>
        <w:jc w:val="left"/>
      </w:pPr>
      <w:r>
        <w:rPr>
          <w:rFonts w:ascii="仿宋_GB2312" w:hAnsi="仿宋_GB2312" w:cs="仿宋_GB2312" w:eastAsia="仿宋_GB2312"/>
        </w:rPr>
        <w:t>供应商参加磋商不得有下列情形：</w:t>
      </w:r>
    </w:p>
    <w:p>
      <w:pPr>
        <w:pStyle w:val="null5"/>
        <w:ind w:firstLine="480"/>
        <w:jc w:val="left"/>
      </w:pPr>
      <w:r>
        <w:rPr>
          <w:rFonts w:ascii="仿宋_GB2312" w:hAnsi="仿宋_GB2312" w:cs="仿宋_GB2312" w:eastAsia="仿宋_GB2312"/>
        </w:rPr>
        <w:t>一、有下列情形之一的，视为供应商串通响应：</w:t>
      </w:r>
    </w:p>
    <w:p>
      <w:pPr>
        <w:pStyle w:val="null5"/>
        <w:ind w:firstLine="480"/>
        <w:jc w:val="left"/>
      </w:pPr>
      <w:r>
        <w:rPr>
          <w:rFonts w:ascii="仿宋_GB2312" w:hAnsi="仿宋_GB2312" w:cs="仿宋_GB2312" w:eastAsia="仿宋_GB2312"/>
        </w:rPr>
        <w:t>（一）不同供应商的响应文件由同一单位或者个人编制；</w:t>
      </w:r>
    </w:p>
    <w:p>
      <w:pPr>
        <w:pStyle w:val="null5"/>
        <w:ind w:firstLine="480"/>
        <w:jc w:val="left"/>
      </w:pPr>
      <w:r>
        <w:rPr>
          <w:rFonts w:ascii="仿宋_GB2312" w:hAnsi="仿宋_GB2312" w:cs="仿宋_GB2312" w:eastAsia="仿宋_GB2312"/>
        </w:rPr>
        <w:t>（二）不同供应商委托同一单位或者个人办理投标事宜；</w:t>
      </w:r>
    </w:p>
    <w:p>
      <w:pPr>
        <w:pStyle w:val="null5"/>
        <w:ind w:firstLine="480"/>
        <w:jc w:val="left"/>
      </w:pPr>
      <w:r>
        <w:rPr>
          <w:rFonts w:ascii="仿宋_GB2312" w:hAnsi="仿宋_GB2312" w:cs="仿宋_GB2312" w:eastAsia="仿宋_GB2312"/>
        </w:rPr>
        <w:t>（三）不同供应商的响应文件载明的项目管理成员或者联系人员为同一人；</w:t>
      </w:r>
    </w:p>
    <w:p>
      <w:pPr>
        <w:pStyle w:val="null5"/>
        <w:ind w:firstLine="480"/>
        <w:jc w:val="left"/>
      </w:pPr>
      <w:r>
        <w:rPr>
          <w:rFonts w:ascii="仿宋_GB2312" w:hAnsi="仿宋_GB2312" w:cs="仿宋_GB2312" w:eastAsia="仿宋_GB2312"/>
        </w:rPr>
        <w:t>（四）不同供应商的响应文件异常一致或者响应报价呈规律性差异；</w:t>
      </w:r>
    </w:p>
    <w:p>
      <w:pPr>
        <w:pStyle w:val="null5"/>
        <w:ind w:firstLine="480"/>
        <w:jc w:val="left"/>
      </w:pPr>
      <w:r>
        <w:rPr>
          <w:rFonts w:ascii="仿宋_GB2312" w:hAnsi="仿宋_GB2312" w:cs="仿宋_GB2312" w:eastAsia="仿宋_GB2312"/>
        </w:rPr>
        <w:t>（五）不同供应商的响应文件相互混装；</w:t>
      </w:r>
    </w:p>
    <w:p>
      <w:pPr>
        <w:pStyle w:val="null5"/>
        <w:ind w:firstLine="480"/>
        <w:jc w:val="left"/>
      </w:pPr>
      <w:r>
        <w:rPr>
          <w:rFonts w:ascii="仿宋_GB2312" w:hAnsi="仿宋_GB2312" w:cs="仿宋_GB2312" w:eastAsia="仿宋_GB2312"/>
        </w:rPr>
        <w:t>（六）不同供应商的响应保证金从同一单位或者个人的账户转出。</w:t>
      </w:r>
    </w:p>
    <w:p>
      <w:pPr>
        <w:pStyle w:val="null5"/>
        <w:ind w:firstLine="480"/>
        <w:jc w:val="both"/>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5"/>
        <w:ind w:firstLine="480"/>
        <w:jc w:val="left"/>
      </w:pPr>
      <w:r>
        <w:rPr>
          <w:rFonts w:ascii="仿宋_GB2312" w:hAnsi="仿宋_GB2312" w:cs="仿宋_GB2312" w:eastAsia="仿宋_GB2312"/>
        </w:rPr>
        <w:t>（二）供应商按照采购人或者代理机构的授意撤换、修改响应文件；</w:t>
      </w:r>
    </w:p>
    <w:p>
      <w:pPr>
        <w:pStyle w:val="null5"/>
        <w:ind w:firstLine="480"/>
        <w:jc w:val="left"/>
      </w:pPr>
      <w:r>
        <w:rPr>
          <w:rFonts w:ascii="仿宋_GB2312" w:hAnsi="仿宋_GB2312" w:cs="仿宋_GB2312" w:eastAsia="仿宋_GB2312"/>
        </w:rPr>
        <w:t>（三）供应商之间协商报价、技术方案等响应文件的实质性内容；</w:t>
      </w:r>
    </w:p>
    <w:p>
      <w:pPr>
        <w:pStyle w:val="null5"/>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（五）供应商之间事先约定由某一特定供应商成交；</w:t>
      </w:r>
    </w:p>
    <w:p>
      <w:pPr>
        <w:pStyle w:val="null5"/>
        <w:ind w:firstLine="480"/>
        <w:jc w:val="left"/>
      </w:pPr>
      <w:r>
        <w:rPr>
          <w:rFonts w:ascii="仿宋_GB2312" w:hAnsi="仿宋_GB2312" w:cs="仿宋_GB2312" w:eastAsia="仿宋_GB2312"/>
        </w:rPr>
        <w:t>（六）供应商之间商定部分供应商放弃参加政府采购活动或者放弃成交；</w:t>
      </w:r>
    </w:p>
    <w:p>
      <w:pPr>
        <w:pStyle w:val="null5"/>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三、提供虚假材料谋取成交；</w:t>
      </w:r>
    </w:p>
    <w:p>
      <w:pPr>
        <w:pStyle w:val="null5"/>
        <w:ind w:firstLine="480"/>
        <w:jc w:val="left"/>
      </w:pPr>
      <w:r>
        <w:rPr>
          <w:rFonts w:ascii="仿宋_GB2312" w:hAnsi="仿宋_GB2312" w:cs="仿宋_GB2312" w:eastAsia="仿宋_GB2312"/>
        </w:rPr>
        <w:t>四、采取不正当手段诋毁、排挤其他供应商；</w:t>
      </w:r>
    </w:p>
    <w:p>
      <w:pPr>
        <w:pStyle w:val="null5"/>
        <w:ind w:firstLine="480"/>
        <w:jc w:val="left"/>
      </w:pPr>
      <w:r>
        <w:rPr>
          <w:rFonts w:ascii="仿宋_GB2312" w:hAnsi="仿宋_GB2312" w:cs="仿宋_GB2312" w:eastAsia="仿宋_GB2312"/>
        </w:rPr>
        <w:t>五、与采购人或者代理机构、其他供应商恶意串通；</w:t>
      </w:r>
    </w:p>
    <w:p>
      <w:pPr>
        <w:pStyle w:val="null5"/>
        <w:ind w:firstLine="480"/>
        <w:jc w:val="left"/>
      </w:pPr>
      <w:r>
        <w:rPr>
          <w:rFonts w:ascii="仿宋_GB2312" w:hAnsi="仿宋_GB2312" w:cs="仿宋_GB2312" w:eastAsia="仿宋_GB2312"/>
        </w:rPr>
        <w:t>六、向采购人或者代理机构、磋商小组成员行贿或者提供其他不正当利益；</w:t>
      </w:r>
    </w:p>
    <w:p>
      <w:pPr>
        <w:pStyle w:val="null5"/>
        <w:ind w:firstLine="480"/>
        <w:jc w:val="left"/>
      </w:pPr>
      <w:r>
        <w:rPr>
          <w:rFonts w:ascii="仿宋_GB2312" w:hAnsi="仿宋_GB2312" w:cs="仿宋_GB2312" w:eastAsia="仿宋_GB2312"/>
        </w:rPr>
        <w:t>七、成交后无正当理由拒不与采购人签订政府采购合同；</w:t>
      </w:r>
    </w:p>
    <w:p>
      <w:pPr>
        <w:pStyle w:val="null5"/>
        <w:ind w:firstLine="480"/>
        <w:jc w:val="left"/>
      </w:pPr>
      <w:r>
        <w:rPr>
          <w:rFonts w:ascii="仿宋_GB2312" w:hAnsi="仿宋_GB2312" w:cs="仿宋_GB2312" w:eastAsia="仿宋_GB2312"/>
        </w:rPr>
        <w:t>八、未按照磋商文件确定的事项签订政府采购合同；</w:t>
      </w:r>
    </w:p>
    <w:p>
      <w:pPr>
        <w:pStyle w:val="null5"/>
        <w:ind w:firstLine="480"/>
        <w:jc w:val="left"/>
      </w:pPr>
      <w:r>
        <w:rPr>
          <w:rFonts w:ascii="仿宋_GB2312" w:hAnsi="仿宋_GB2312" w:cs="仿宋_GB2312" w:eastAsia="仿宋_GB2312"/>
        </w:rPr>
        <w:t>九、将政府采购合同转包或者违规分包；</w:t>
      </w:r>
    </w:p>
    <w:p>
      <w:pPr>
        <w:pStyle w:val="null5"/>
        <w:ind w:firstLine="480"/>
        <w:jc w:val="left"/>
      </w:pPr>
      <w:r>
        <w:rPr>
          <w:rFonts w:ascii="仿宋_GB2312" w:hAnsi="仿宋_GB2312" w:cs="仿宋_GB2312" w:eastAsia="仿宋_GB2312"/>
        </w:rPr>
        <w:t>十、提供假冒伪劣产品；</w:t>
      </w:r>
    </w:p>
    <w:p>
      <w:pPr>
        <w:pStyle w:val="null5"/>
        <w:ind w:firstLine="480"/>
        <w:jc w:val="left"/>
      </w:pPr>
      <w:r>
        <w:rPr>
          <w:rFonts w:ascii="仿宋_GB2312" w:hAnsi="仿宋_GB2312" w:cs="仿宋_GB2312" w:eastAsia="仿宋_GB2312"/>
        </w:rPr>
        <w:t>十一、擅自变更、中止或者终止政府采购合同；</w:t>
      </w:r>
    </w:p>
    <w:p>
      <w:pPr>
        <w:pStyle w:val="null5"/>
        <w:ind w:firstLine="480"/>
        <w:jc w:val="left"/>
      </w:pPr>
      <w:r>
        <w:rPr>
          <w:rFonts w:ascii="仿宋_GB2312" w:hAnsi="仿宋_GB2312" w:cs="仿宋_GB2312" w:eastAsia="仿宋_GB2312"/>
        </w:rPr>
        <w:t>十二、拒绝有关部门的监督检查或者向监督检查部门提供虚假情况；</w:t>
      </w:r>
    </w:p>
    <w:p>
      <w:pPr>
        <w:pStyle w:val="null5"/>
        <w:ind w:firstLine="480"/>
        <w:jc w:val="left"/>
      </w:pPr>
      <w:r>
        <w:rPr>
          <w:rFonts w:ascii="仿宋_GB2312" w:hAnsi="仿宋_GB2312" w:cs="仿宋_GB2312" w:eastAsia="仿宋_GB2312"/>
        </w:rPr>
        <w:t>十三、法律法规规定的其他禁止情形。</w:t>
      </w:r>
    </w:p>
    <w:p>
      <w:pPr>
        <w:pStyle w:val="null5"/>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pPr>
      <w:r>
        <w:rPr>
          <w:rFonts w:ascii="仿宋_GB2312" w:hAnsi="仿宋_GB2312" w:cs="仿宋_GB2312" w:eastAsia="仿宋_GB2312"/>
        </w:rPr>
        <w:t>2.7.3.采购人员及相关人员回避要求</w:t>
      </w:r>
    </w:p>
    <w:p>
      <w:pPr>
        <w:pStyle w:val="null5"/>
        <w:ind w:firstLine="480"/>
        <w:jc w:val="left"/>
      </w:pPr>
      <w:r>
        <w:rPr>
          <w:rFonts w:ascii="仿宋_GB2312" w:hAnsi="仿宋_GB2312" w:cs="仿宋_GB2312" w:eastAsia="仿宋_GB2312"/>
        </w:rPr>
        <w:t>政府采购活动中，采购人员及相关人员与供应商有下列利害关系之一的，应当回避：</w:t>
      </w:r>
    </w:p>
    <w:p>
      <w:pPr>
        <w:pStyle w:val="null5"/>
        <w:ind w:firstLine="480"/>
        <w:jc w:val="left"/>
      </w:pPr>
      <w:r>
        <w:rPr>
          <w:rFonts w:ascii="仿宋_GB2312" w:hAnsi="仿宋_GB2312" w:cs="仿宋_GB2312" w:eastAsia="仿宋_GB2312"/>
        </w:rPr>
        <w:t>一、参加采购活动前 3 年内与供应商存在劳动关系；</w:t>
      </w:r>
    </w:p>
    <w:p>
      <w:pPr>
        <w:pStyle w:val="null5"/>
        <w:ind w:firstLine="480"/>
        <w:jc w:val="left"/>
      </w:pPr>
      <w:r>
        <w:rPr>
          <w:rFonts w:ascii="仿宋_GB2312" w:hAnsi="仿宋_GB2312" w:cs="仿宋_GB2312" w:eastAsia="仿宋_GB2312"/>
        </w:rPr>
        <w:t>二、参加采购活动前 3 年内担任供应商的董事、监事；</w:t>
      </w:r>
    </w:p>
    <w:p>
      <w:pPr>
        <w:pStyle w:val="null5"/>
        <w:ind w:firstLine="480"/>
        <w:jc w:val="left"/>
      </w:pPr>
      <w:r>
        <w:rPr>
          <w:rFonts w:ascii="仿宋_GB2312" w:hAnsi="仿宋_GB2312" w:cs="仿宋_GB2312" w:eastAsia="仿宋_GB2312"/>
        </w:rPr>
        <w:t>三、参加采购活动前 3 年内是供应商的控股股东或者实际控制人；</w:t>
      </w:r>
    </w:p>
    <w:p>
      <w:pPr>
        <w:pStyle w:val="null5"/>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五、与供应商有其他可能影响政府采购活动公平、公正进行的关系。</w:t>
      </w:r>
    </w:p>
    <w:p>
      <w:pPr>
        <w:pStyle w:val="null5"/>
        <w:ind w:firstLine="480"/>
        <w:jc w:val="both"/>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left"/>
      </w:pPr>
      <w:r>
        <w:rPr>
          <w:rFonts w:ascii="仿宋_GB2312" w:hAnsi="仿宋_GB2312" w:cs="仿宋_GB2312" w:eastAsia="仿宋_GB2312"/>
        </w:rPr>
        <w:t>二、供应商询问、质疑的答复主体：</w:t>
      </w:r>
    </w:p>
    <w:p>
      <w:pPr>
        <w:pStyle w:val="null5"/>
        <w:ind w:firstLine="480"/>
        <w:jc w:val="left"/>
      </w:pPr>
      <w:r>
        <w:rPr>
          <w:rFonts w:ascii="仿宋_GB2312" w:hAnsi="仿宋_GB2312" w:cs="仿宋_GB2312" w:eastAsia="仿宋_GB2312"/>
        </w:rPr>
        <w:t>根据委托代理协议约定，供应商对磋商文件中采购需求的询问、质疑由</w:t>
      </w:r>
      <w:r>
        <w:rPr>
          <w:rFonts w:ascii="仿宋_GB2312" w:hAnsi="仿宋_GB2312" w:cs="仿宋_GB2312" w:eastAsia="仿宋_GB2312"/>
        </w:rPr>
        <w:t>山东石油化工学院</w:t>
      </w:r>
      <w:r>
        <w:rPr>
          <w:rFonts w:ascii="仿宋_GB2312" w:hAnsi="仿宋_GB2312" w:cs="仿宋_GB2312" w:eastAsia="仿宋_GB2312"/>
        </w:rPr>
        <w:t>负责答复；供应商对除采购需求外的磋商文件的询问、质疑由</w:t>
      </w:r>
      <w:r>
        <w:rPr>
          <w:rFonts w:ascii="仿宋_GB2312" w:hAnsi="仿宋_GB2312" w:cs="仿宋_GB2312" w:eastAsia="仿宋_GB2312"/>
        </w:rPr>
        <w:t>山东华标招标有限公司</w:t>
      </w:r>
      <w:r>
        <w:rPr>
          <w:rFonts w:ascii="仿宋_GB2312" w:hAnsi="仿宋_GB2312" w:cs="仿宋_GB2312" w:eastAsia="仿宋_GB2312"/>
        </w:rPr>
        <w:t>负责答复；供应商对采购过程、采购结果的询问、质疑由</w:t>
      </w:r>
      <w:r>
        <w:rPr>
          <w:rFonts w:ascii="仿宋_GB2312" w:hAnsi="仿宋_GB2312" w:cs="仿宋_GB2312" w:eastAsia="仿宋_GB2312"/>
        </w:rPr>
        <w:t>山东华标招标有限公司</w:t>
      </w:r>
      <w:r>
        <w:rPr>
          <w:rFonts w:ascii="仿宋_GB2312" w:hAnsi="仿宋_GB2312" w:cs="仿宋_GB2312" w:eastAsia="仿宋_GB2312"/>
        </w:rPr>
        <w:t>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联系人：印女士</w:t>
      </w:r>
    </w:p>
    <w:p>
      <w:pPr>
        <w:pStyle w:val="null5"/>
        <w:jc w:val="left"/>
      </w:pPr>
      <w:r>
        <w:rPr>
          <w:rFonts w:ascii="仿宋_GB2312" w:hAnsi="仿宋_GB2312" w:cs="仿宋_GB2312" w:eastAsia="仿宋_GB2312"/>
        </w:rPr>
        <w:t>联系电话：0546-8036663</w:t>
      </w:r>
    </w:p>
    <w:p>
      <w:pPr>
        <w:pStyle w:val="null5"/>
        <w:jc w:val="left"/>
      </w:pPr>
      <w:r>
        <w:rPr>
          <w:rFonts w:ascii="仿宋_GB2312" w:hAnsi="仿宋_GB2312" w:cs="仿宋_GB2312" w:eastAsia="仿宋_GB2312"/>
        </w:rPr>
        <w:t>地址：东营市海通创客中心1号楼</w:t>
      </w:r>
    </w:p>
    <w:p>
      <w:pPr>
        <w:pStyle w:val="null5"/>
        <w:jc w:val="left"/>
      </w:pPr>
      <w:r>
        <w:rPr>
          <w:rFonts w:ascii="仿宋_GB2312" w:hAnsi="仿宋_GB2312" w:cs="仿宋_GB2312" w:eastAsia="仿宋_GB2312"/>
        </w:rPr>
        <w:t>邮编：257100</w:t>
      </w:r>
    </w:p>
    <w:p>
      <w:pPr>
        <w:pStyle w:val="null5"/>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5"/>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个工作日内，以书面形式向采购人、代理机构提出质疑。供应商应在法定质疑期内一次性提出针对同一采购程序环节的质疑。供应商应知其权益受到损害之日，是指：</w:t>
      </w:r>
    </w:p>
    <w:p>
      <w:pPr>
        <w:pStyle w:val="null5"/>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5"/>
        <w:ind w:firstLine="480"/>
        <w:jc w:val="left"/>
      </w:pPr>
      <w:r>
        <w:rPr>
          <w:rFonts w:ascii="仿宋_GB2312" w:hAnsi="仿宋_GB2312" w:cs="仿宋_GB2312" w:eastAsia="仿宋_GB2312"/>
        </w:rPr>
        <w:t>（二）对采购过程提出质疑的，为各采购程序环节结束之日；</w:t>
      </w:r>
    </w:p>
    <w:p>
      <w:pPr>
        <w:pStyle w:val="null5"/>
        <w:ind w:firstLine="480"/>
        <w:jc w:val="left"/>
      </w:pPr>
      <w:r>
        <w:rPr>
          <w:rFonts w:ascii="仿宋_GB2312" w:hAnsi="仿宋_GB2312" w:cs="仿宋_GB2312" w:eastAsia="仿宋_GB2312"/>
        </w:rPr>
        <w:t>（三）对成交结果提出质疑的，为成交结果公告期限届满之日。</w:t>
      </w:r>
    </w:p>
    <w:p>
      <w:pPr>
        <w:pStyle w:val="null5"/>
        <w:ind w:firstLine="480"/>
        <w:jc w:val="left"/>
      </w:pPr>
      <w:r>
        <w:rPr>
          <w:rFonts w:ascii="仿宋_GB2312" w:hAnsi="仿宋_GB2312" w:cs="仿宋_GB2312" w:eastAsia="仿宋_GB2312"/>
        </w:rPr>
        <w:t>五、供应商通过书面形式向采购人或者代理机构提交质疑资料。</w:t>
      </w:r>
    </w:p>
    <w:p>
      <w:pPr>
        <w:pStyle w:val="null5"/>
        <w:ind w:firstLine="480"/>
        <w:jc w:val="left"/>
      </w:pPr>
      <w:r>
        <w:rPr>
          <w:rFonts w:ascii="仿宋_GB2312" w:hAnsi="仿宋_GB2312" w:cs="仿宋_GB2312" w:eastAsia="仿宋_GB2312"/>
        </w:rPr>
        <w:t>六、供应商提出质疑时应当准备的资料：</w:t>
      </w:r>
    </w:p>
    <w:p>
      <w:pPr>
        <w:pStyle w:val="null5"/>
        <w:ind w:firstLine="480"/>
        <w:jc w:val="left"/>
      </w:pPr>
      <w:r>
        <w:rPr>
          <w:rFonts w:ascii="仿宋_GB2312" w:hAnsi="仿宋_GB2312" w:cs="仿宋_GB2312" w:eastAsia="仿宋_GB2312"/>
        </w:rPr>
        <w:t>（一）质疑函正本 1 份；</w:t>
      </w:r>
    </w:p>
    <w:p>
      <w:pPr>
        <w:pStyle w:val="null5"/>
        <w:ind w:firstLine="480"/>
        <w:jc w:val="left"/>
      </w:pPr>
      <w:r>
        <w:rPr>
          <w:rFonts w:ascii="仿宋_GB2312" w:hAnsi="仿宋_GB2312" w:cs="仿宋_GB2312" w:eastAsia="仿宋_GB2312"/>
        </w:rPr>
        <w:t>（二）法定代表人或主要负责人授权委托书 1 份（委托代理人办理质疑事宜的需提供）；</w:t>
      </w:r>
    </w:p>
    <w:p>
      <w:pPr>
        <w:pStyle w:val="null5"/>
        <w:ind w:firstLine="480"/>
        <w:jc w:val="left"/>
      </w:pPr>
      <w:r>
        <w:rPr>
          <w:rFonts w:ascii="仿宋_GB2312" w:hAnsi="仿宋_GB2312" w:cs="仿宋_GB2312" w:eastAsia="仿宋_GB2312"/>
        </w:rPr>
        <w:t>（三）法定代表人或主要负责人身份证复印件 1 份；</w:t>
      </w:r>
    </w:p>
    <w:p>
      <w:pPr>
        <w:pStyle w:val="null5"/>
        <w:ind w:firstLine="480"/>
        <w:jc w:val="left"/>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5"/>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5"/>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 15 个工作日内向同级财政部门提起投诉。</w:t>
      </w:r>
    </w:p>
    <w:p>
      <w:pPr>
        <w:pStyle w:val="null5"/>
        <w:ind w:firstLine="480"/>
        <w:jc w:val="left"/>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left"/>
      </w:pPr>
      <w:r>
        <w:rPr>
          <w:rFonts w:ascii="仿宋_GB2312" w:hAnsi="仿宋_GB2312" w:cs="仿宋_GB2312" w:eastAsia="仿宋_GB2312"/>
        </w:rPr>
        <w:t>（一）拒收质疑供应商在法定质疑期内发出的质疑函；</w:t>
      </w:r>
    </w:p>
    <w:p>
      <w:pPr>
        <w:pStyle w:val="null5"/>
        <w:ind w:firstLine="480"/>
        <w:jc w:val="left"/>
      </w:pPr>
      <w:r>
        <w:rPr>
          <w:rFonts w:ascii="仿宋_GB2312" w:hAnsi="仿宋_GB2312" w:cs="仿宋_GB2312" w:eastAsia="仿宋_GB2312"/>
        </w:rPr>
        <w:t>（二）对质疑不予答复或者答复与事实明显不符，并不能作出合理说明；</w:t>
      </w:r>
    </w:p>
    <w:p>
      <w:pPr>
        <w:pStyle w:val="null5"/>
        <w:ind w:firstLine="480"/>
        <w:jc w:val="left"/>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供应商在全国范围 12 个月内三次以上投诉查无实据的，由财政部门列入不良行为记录名单。供应商有下列行为之一的，属于虚假、恶意投诉，由财政部门列入不良行为记录名单，禁止其1至3年内参加政府采购活动：</w:t>
      </w:r>
    </w:p>
    <w:p>
      <w:pPr>
        <w:pStyle w:val="null5"/>
        <w:ind w:firstLine="480"/>
        <w:jc w:val="left"/>
      </w:pPr>
      <w:r>
        <w:rPr>
          <w:rFonts w:ascii="仿宋_GB2312" w:hAnsi="仿宋_GB2312" w:cs="仿宋_GB2312" w:eastAsia="仿宋_GB2312"/>
        </w:rPr>
        <w:t>（一）捏造事实；</w:t>
      </w:r>
    </w:p>
    <w:p>
      <w:pPr>
        <w:pStyle w:val="null5"/>
        <w:ind w:firstLine="480"/>
        <w:jc w:val="left"/>
      </w:pPr>
      <w:r>
        <w:rPr>
          <w:rFonts w:ascii="仿宋_GB2312" w:hAnsi="仿宋_GB2312" w:cs="仿宋_GB2312" w:eastAsia="仿宋_GB2312"/>
        </w:rPr>
        <w:t>（二）提供虚假材料；</w:t>
      </w:r>
    </w:p>
    <w:p>
      <w:pPr>
        <w:pStyle w:val="null5"/>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both"/>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left"/>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left"/>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left"/>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left"/>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left"/>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606,212.00</w:t>
      </w:r>
    </w:p>
    <w:p>
      <w:pPr>
        <w:pStyle w:val="null5"/>
        <w:jc w:val="left"/>
      </w:pPr>
      <w:r>
        <w:rPr>
          <w:rFonts w:ascii="仿宋_GB2312" w:hAnsi="仿宋_GB2312" w:cs="仿宋_GB2312" w:eastAsia="仿宋_GB2312"/>
        </w:rPr>
        <w:t>采购包最高限价（元）: 606,212.00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红外分光光度计等设备</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606,212.00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是</w:t>
            </w:r>
          </w:p>
        </w:tc>
      </w:tr>
    </w:tbl>
    <w:p>
      <w:pPr>
        <w:pStyle w:val="null5"/>
        <w:ind w:firstLine="480"/>
        <w:jc w:val="left"/>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红外分光光度计等设备</w:t>
            </w:r>
          </w:p>
        </w:tc>
        <w:tc>
          <w:tcPr>
            <w:tcW w:type="dxa" w:w="554"/>
          </w:tcPr>
          <w:p>
            <w:pPr>
              <w:pStyle w:val="null5"/>
              <w:jc w:val="left"/>
            </w:pPr>
            <w:r>
              <w:rPr>
                <w:rFonts w:ascii="仿宋_GB2312" w:hAnsi="仿宋_GB2312" w:cs="仿宋_GB2312" w:eastAsia="仿宋_GB2312"/>
              </w:rPr>
              <w:t>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606,212.00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红外分光光度计等设备</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紫外分光光度计</w:t>
            </w:r>
          </w:p>
        </w:tc>
        <w:tc>
          <w:tcPr>
            <w:tcW w:type="dxa" w:w="2076"/>
          </w:tcPr>
          <w:p>
            <w:pPr>
              <w:pStyle w:val="null5"/>
              <w:jc w:val="left"/>
            </w:pPr>
            <w:r>
              <w:rPr>
                <w:rFonts w:ascii="仿宋_GB2312" w:hAnsi="仿宋_GB2312" w:cs="仿宋_GB2312" w:eastAsia="仿宋_GB2312"/>
              </w:rPr>
              <w:t>紫外分光光度计</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烘箱</w:t>
            </w:r>
          </w:p>
        </w:tc>
        <w:tc>
          <w:tcPr>
            <w:tcW w:type="dxa" w:w="2076"/>
          </w:tcPr>
          <w:p>
            <w:pPr>
              <w:pStyle w:val="null5"/>
              <w:jc w:val="left"/>
            </w:pPr>
            <w:r>
              <w:rPr>
                <w:rFonts w:ascii="仿宋_GB2312" w:hAnsi="仿宋_GB2312" w:cs="仿宋_GB2312" w:eastAsia="仿宋_GB2312"/>
              </w:rPr>
              <w:t>烘箱</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pH计</w:t>
            </w:r>
          </w:p>
        </w:tc>
        <w:tc>
          <w:tcPr>
            <w:tcW w:type="dxa" w:w="2076"/>
          </w:tcPr>
          <w:p>
            <w:pPr>
              <w:pStyle w:val="null5"/>
              <w:jc w:val="left"/>
            </w:pPr>
            <w:r>
              <w:rPr>
                <w:rFonts w:ascii="仿宋_GB2312" w:hAnsi="仿宋_GB2312" w:cs="仿宋_GB2312" w:eastAsia="仿宋_GB2312"/>
              </w:rPr>
              <w:t>pH计</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多媒体演示设备</w:t>
            </w:r>
          </w:p>
        </w:tc>
        <w:tc>
          <w:tcPr>
            <w:tcW w:type="dxa" w:w="2076"/>
          </w:tcPr>
          <w:p>
            <w:pPr>
              <w:pStyle w:val="null5"/>
              <w:jc w:val="left"/>
            </w:pPr>
            <w:r>
              <w:rPr>
                <w:rFonts w:ascii="仿宋_GB2312" w:hAnsi="仿宋_GB2312" w:cs="仿宋_GB2312" w:eastAsia="仿宋_GB2312"/>
              </w:rPr>
              <w:t>多媒体演示设备</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低温高速离心机</w:t>
            </w:r>
          </w:p>
        </w:tc>
        <w:tc>
          <w:tcPr>
            <w:tcW w:type="dxa" w:w="2076"/>
          </w:tcPr>
          <w:p>
            <w:pPr>
              <w:pStyle w:val="null5"/>
              <w:jc w:val="left"/>
            </w:pPr>
            <w:r>
              <w:rPr>
                <w:rFonts w:ascii="仿宋_GB2312" w:hAnsi="仿宋_GB2312" w:cs="仿宋_GB2312" w:eastAsia="仿宋_GB2312"/>
              </w:rPr>
              <w:t>低温高速离心机</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氢气发生器</w:t>
            </w:r>
          </w:p>
        </w:tc>
        <w:tc>
          <w:tcPr>
            <w:tcW w:type="dxa" w:w="2076"/>
          </w:tcPr>
          <w:p>
            <w:pPr>
              <w:pStyle w:val="null5"/>
              <w:jc w:val="left"/>
            </w:pPr>
            <w:r>
              <w:rPr>
                <w:rFonts w:ascii="仿宋_GB2312" w:hAnsi="仿宋_GB2312" w:cs="仿宋_GB2312" w:eastAsia="仿宋_GB2312"/>
              </w:rPr>
              <w:t>氢气发生器</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7</w:t>
            </w:r>
          </w:p>
        </w:tc>
        <w:tc>
          <w:tcPr>
            <w:tcW w:type="dxa" w:w="2076"/>
          </w:tcPr>
          <w:p>
            <w:pPr>
              <w:pStyle w:val="null5"/>
              <w:jc w:val="left"/>
            </w:pPr>
            <w:r>
              <w:rPr>
                <w:rFonts w:ascii="仿宋_GB2312" w:hAnsi="仿宋_GB2312" w:cs="仿宋_GB2312" w:eastAsia="仿宋_GB2312"/>
              </w:rPr>
              <w:t>操作面</w:t>
            </w:r>
          </w:p>
        </w:tc>
        <w:tc>
          <w:tcPr>
            <w:tcW w:type="dxa" w:w="2076"/>
          </w:tcPr>
          <w:p>
            <w:pPr>
              <w:pStyle w:val="null5"/>
              <w:jc w:val="left"/>
            </w:pPr>
            <w:r>
              <w:rPr>
                <w:rFonts w:ascii="仿宋_GB2312" w:hAnsi="仿宋_GB2312" w:cs="仿宋_GB2312" w:eastAsia="仿宋_GB2312"/>
              </w:rPr>
              <w:t>操作面</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8</w:t>
            </w:r>
          </w:p>
        </w:tc>
        <w:tc>
          <w:tcPr>
            <w:tcW w:type="dxa" w:w="2076"/>
          </w:tcPr>
          <w:p>
            <w:pPr>
              <w:pStyle w:val="null5"/>
              <w:jc w:val="left"/>
            </w:pPr>
            <w:r>
              <w:rPr>
                <w:rFonts w:ascii="仿宋_GB2312" w:hAnsi="仿宋_GB2312" w:cs="仿宋_GB2312" w:eastAsia="仿宋_GB2312"/>
              </w:rPr>
              <w:t>红外分光光度计（核心产品）</w:t>
            </w:r>
          </w:p>
        </w:tc>
        <w:tc>
          <w:tcPr>
            <w:tcW w:type="dxa" w:w="2076"/>
          </w:tcPr>
          <w:p>
            <w:pPr>
              <w:pStyle w:val="null5"/>
              <w:jc w:val="left"/>
            </w:pPr>
            <w:r>
              <w:rPr>
                <w:rFonts w:ascii="仿宋_GB2312" w:hAnsi="仿宋_GB2312" w:cs="仿宋_GB2312" w:eastAsia="仿宋_GB2312"/>
              </w:rPr>
              <w:t>红外分光光度计（核心产品）</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9</w:t>
            </w:r>
          </w:p>
        </w:tc>
        <w:tc>
          <w:tcPr>
            <w:tcW w:type="dxa" w:w="2076"/>
          </w:tcPr>
          <w:p>
            <w:pPr>
              <w:pStyle w:val="null5"/>
              <w:jc w:val="left"/>
            </w:pPr>
            <w:r>
              <w:rPr>
                <w:rFonts w:ascii="仿宋_GB2312" w:hAnsi="仿宋_GB2312" w:cs="仿宋_GB2312" w:eastAsia="仿宋_GB2312"/>
              </w:rPr>
              <w:t>荧光分光光度计</w:t>
            </w:r>
          </w:p>
        </w:tc>
        <w:tc>
          <w:tcPr>
            <w:tcW w:type="dxa" w:w="2076"/>
          </w:tcPr>
          <w:p>
            <w:pPr>
              <w:pStyle w:val="null5"/>
              <w:jc w:val="left"/>
            </w:pPr>
            <w:r>
              <w:rPr>
                <w:rFonts w:ascii="仿宋_GB2312" w:hAnsi="仿宋_GB2312" w:cs="仿宋_GB2312" w:eastAsia="仿宋_GB2312"/>
              </w:rPr>
              <w:t>荧光分光光度计</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5"/>
        <w:ind w:firstLine="480"/>
        <w:jc w:val="left"/>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教学仪器</w:t>
            </w:r>
          </w:p>
        </w:tc>
        <w:tc>
          <w:tcPr>
            <w:tcW w:type="dxa" w:w="2492"/>
          </w:tcPr>
          <w:p>
            <w:pPr>
              <w:pStyle w:val="null5"/>
              <w:jc w:val="left"/>
            </w:pPr>
            <w:r>
              <w:rPr>
                <w:rFonts w:ascii="仿宋_GB2312" w:hAnsi="仿宋_GB2312" w:cs="仿宋_GB2312" w:eastAsia="仿宋_GB2312"/>
              </w:rPr>
              <w:t>红外分光光度计等设备</w:t>
            </w:r>
          </w:p>
        </w:tc>
        <w:tc>
          <w:tcPr>
            <w:tcW w:type="dxa" w:w="2492"/>
          </w:tcPr>
          <w:p>
            <w:pPr>
              <w:pStyle w:val="null5"/>
              <w:jc w:val="left"/>
            </w:pPr>
            <w:r>
              <w:rPr>
                <w:rFonts w:ascii="仿宋_GB2312" w:hAnsi="仿宋_GB2312" w:cs="仿宋_GB2312" w:eastAsia="仿宋_GB2312"/>
              </w:rPr>
              <w:t>红外分光光度计</w:t>
            </w:r>
          </w:p>
        </w:tc>
      </w:tr>
    </w:tbl>
    <w:p>
      <w:pPr>
        <w:pStyle w:val="null5"/>
        <w:ind w:firstLine="480"/>
        <w:jc w:val="left"/>
      </w:pPr>
      <w:r>
        <w:rPr>
          <w:rFonts w:ascii="仿宋_GB2312" w:hAnsi="仿宋_GB2312" w:cs="仿宋_GB2312" w:eastAsia="仿宋_GB2312"/>
        </w:rPr>
        <w:t>注：涉及核心产品的，具体评审规定见第五章。</w:t>
      </w:r>
    </w:p>
    <w:p>
      <w:pPr>
        <w:pStyle w:val="null5"/>
        <w:ind w:firstLine="480"/>
        <w:jc w:val="left"/>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5"/>
        <w:ind w:firstLine="480"/>
        <w:jc w:val="left"/>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left"/>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教学仪器</w:t>
            </w:r>
          </w:p>
        </w:tc>
        <w:tc>
          <w:tcPr>
            <w:tcW w:type="dxa" w:w="2492"/>
          </w:tcPr>
          <w:p>
            <w:pPr>
              <w:pStyle w:val="null5"/>
              <w:jc w:val="left"/>
            </w:pPr>
            <w:r>
              <w:rPr>
                <w:rFonts w:ascii="仿宋_GB2312" w:hAnsi="仿宋_GB2312" w:cs="仿宋_GB2312" w:eastAsia="仿宋_GB2312"/>
              </w:rPr>
              <w:t>红外分光光度计等设备</w:t>
            </w:r>
          </w:p>
        </w:tc>
        <w:tc>
          <w:tcPr>
            <w:tcW w:type="dxa" w:w="2492"/>
          </w:tcPr>
          <w:p>
            <w:pPr>
              <w:pStyle w:val="null5"/>
              <w:jc w:val="left"/>
            </w:pPr>
            <w:r>
              <w:rPr>
                <w:rFonts w:ascii="仿宋_GB2312" w:hAnsi="仿宋_GB2312" w:cs="仿宋_GB2312" w:eastAsia="仿宋_GB2312"/>
              </w:rPr>
              <w:t>本项目采购清单中涉及的属于《节能产品政府采购品目清单》中的优先采购节能产品</w:t>
            </w:r>
          </w:p>
        </w:tc>
      </w:tr>
    </w:tbl>
    <w:p>
      <w:pPr>
        <w:pStyle w:val="null5"/>
        <w:ind w:firstLine="480"/>
        <w:jc w:val="both"/>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left"/>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教学仪器</w:t>
            </w:r>
          </w:p>
        </w:tc>
        <w:tc>
          <w:tcPr>
            <w:tcW w:type="dxa" w:w="2492"/>
          </w:tcPr>
          <w:p>
            <w:pPr>
              <w:pStyle w:val="null5"/>
              <w:jc w:val="left"/>
            </w:pPr>
            <w:r>
              <w:rPr>
                <w:rFonts w:ascii="仿宋_GB2312" w:hAnsi="仿宋_GB2312" w:cs="仿宋_GB2312" w:eastAsia="仿宋_GB2312"/>
              </w:rPr>
              <w:t>红外分光光度计等设备</w:t>
            </w:r>
          </w:p>
        </w:tc>
        <w:tc>
          <w:tcPr>
            <w:tcW w:type="dxa" w:w="2492"/>
          </w:tcPr>
          <w:p>
            <w:pPr>
              <w:pStyle w:val="null5"/>
              <w:jc w:val="left"/>
            </w:pPr>
            <w:r>
              <w:rPr>
                <w:rFonts w:ascii="仿宋_GB2312" w:hAnsi="仿宋_GB2312" w:cs="仿宋_GB2312" w:eastAsia="仿宋_GB2312"/>
              </w:rPr>
              <w:t>本项目采购清单中涉及的属于《环境标志产品政府采品目清单》中的优先采购环境标志产品</w:t>
            </w:r>
          </w:p>
        </w:tc>
      </w:tr>
    </w:tbl>
    <w:p>
      <w:pPr>
        <w:pStyle w:val="null5"/>
        <w:ind w:firstLine="480"/>
        <w:jc w:val="both"/>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标的名称：红外分光光度计等设备</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紫外分光光度计</w:t>
            </w:r>
          </w:p>
        </w:tc>
        <w:tc>
          <w:tcPr>
            <w:tcW w:type="dxa" w:w="2076"/>
          </w:tcPr>
          <w:p>
            <w:pPr>
              <w:pStyle w:val="null5"/>
              <w:jc w:val="left"/>
            </w:pPr>
            <w:r>
              <w:rPr>
                <w:rFonts w:ascii="仿宋_GB2312" w:hAnsi="仿宋_GB2312" w:cs="仿宋_GB2312" w:eastAsia="仿宋_GB2312"/>
              </w:rPr>
              <w:t>数量：6台</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紫外分光光度计</w:t>
            </w:r>
          </w:p>
        </w:tc>
        <w:tc>
          <w:tcPr>
            <w:tcW w:type="dxa" w:w="2076"/>
          </w:tcPr>
          <w:p>
            <w:pPr>
              <w:pStyle w:val="null5"/>
              <w:jc w:val="left"/>
            </w:pPr>
            <w:r>
              <w:rPr>
                <w:rFonts w:ascii="仿宋_GB2312" w:hAnsi="仿宋_GB2312" w:cs="仿宋_GB2312" w:eastAsia="仿宋_GB2312"/>
                <w:sz w:val="24"/>
              </w:rPr>
              <w:t>1.波长范围：190nm~1100nm</w:t>
            </w:r>
          </w:p>
          <w:p>
            <w:pPr>
              <w:pStyle w:val="null5"/>
              <w:jc w:val="left"/>
            </w:pPr>
            <w:r>
              <w:rPr>
                <w:rFonts w:ascii="仿宋_GB2312" w:hAnsi="仿宋_GB2312" w:cs="仿宋_GB2312" w:eastAsia="仿宋_GB2312"/>
                <w:sz w:val="24"/>
              </w:rPr>
              <w:t>2.波长示值误差：±1.0nm</w:t>
            </w:r>
          </w:p>
          <w:p>
            <w:pPr>
              <w:pStyle w:val="null5"/>
              <w:jc w:val="left"/>
            </w:pPr>
            <w:r>
              <w:rPr>
                <w:rFonts w:ascii="仿宋_GB2312" w:hAnsi="仿宋_GB2312" w:cs="仿宋_GB2312" w:eastAsia="仿宋_GB2312"/>
                <w:sz w:val="24"/>
              </w:rPr>
              <w:t>3.波长重复性：≤0.2nm</w:t>
            </w:r>
          </w:p>
          <w:p>
            <w:pPr>
              <w:pStyle w:val="null5"/>
              <w:jc w:val="left"/>
            </w:pPr>
            <w:r>
              <w:rPr>
                <w:rFonts w:ascii="仿宋_GB2312" w:hAnsi="仿宋_GB2312" w:cs="仿宋_GB2312" w:eastAsia="仿宋_GB2312"/>
                <w:sz w:val="24"/>
              </w:rPr>
              <w:t>4.最小光谱带宽：2.0nm（允许偏差±0.4nm）</w:t>
            </w:r>
          </w:p>
          <w:p>
            <w:pPr>
              <w:pStyle w:val="null5"/>
              <w:jc w:val="left"/>
            </w:pPr>
            <w:r>
              <w:rPr>
                <w:rFonts w:ascii="仿宋_GB2312" w:hAnsi="仿宋_GB2312" w:cs="仿宋_GB2312" w:eastAsia="仿宋_GB2312"/>
                <w:sz w:val="24"/>
              </w:rPr>
              <w:t>5.杂散光：≤0.05%T</w:t>
            </w:r>
          </w:p>
          <w:p>
            <w:pPr>
              <w:pStyle w:val="null5"/>
              <w:jc w:val="left"/>
            </w:pPr>
            <w:r>
              <w:rPr>
                <w:rFonts w:ascii="仿宋_GB2312" w:hAnsi="仿宋_GB2312" w:cs="仿宋_GB2312" w:eastAsia="仿宋_GB2312"/>
                <w:sz w:val="24"/>
              </w:rPr>
              <w:t>6.光度范围：-0.3Abs~3Abs</w:t>
            </w:r>
          </w:p>
          <w:p>
            <w:pPr>
              <w:pStyle w:val="null5"/>
              <w:jc w:val="left"/>
            </w:pPr>
            <w:r>
              <w:rPr>
                <w:rFonts w:ascii="仿宋_GB2312" w:hAnsi="仿宋_GB2312" w:cs="仿宋_GB2312" w:eastAsia="仿宋_GB2312"/>
                <w:sz w:val="24"/>
              </w:rPr>
              <w:t>7.吸光度示值误差：≤±0.002Abs（0Abs~0.5Abs）、≤±0.004Abs（0.5Abs~1Abs）</w:t>
            </w:r>
          </w:p>
          <w:p>
            <w:pPr>
              <w:pStyle w:val="null5"/>
              <w:jc w:val="left"/>
            </w:pPr>
            <w:r>
              <w:rPr>
                <w:rFonts w:ascii="仿宋_GB2312" w:hAnsi="仿宋_GB2312" w:cs="仿宋_GB2312" w:eastAsia="仿宋_GB2312"/>
                <w:sz w:val="24"/>
              </w:rPr>
              <w:t>8.吸光度重复性：≤0.001Abs（0Abs~0.5Abs）、≤0.002Abs（0.5Abs~1Abs）</w:t>
            </w:r>
          </w:p>
          <w:p>
            <w:pPr>
              <w:pStyle w:val="null5"/>
              <w:jc w:val="left"/>
            </w:pPr>
            <w:r>
              <w:rPr>
                <w:rFonts w:ascii="仿宋_GB2312" w:hAnsi="仿宋_GB2312" w:cs="仿宋_GB2312" w:eastAsia="仿宋_GB2312"/>
                <w:sz w:val="24"/>
              </w:rPr>
              <w:t>9.基线平直度（吸光度）：≤0.002Abs（200nm~1090nm）</w:t>
            </w:r>
          </w:p>
          <w:p>
            <w:pPr>
              <w:pStyle w:val="null5"/>
              <w:jc w:val="left"/>
            </w:pPr>
            <w:r>
              <w:rPr>
                <w:rFonts w:ascii="仿宋_GB2312" w:hAnsi="仿宋_GB2312" w:cs="仿宋_GB2312" w:eastAsia="仿宋_GB2312"/>
                <w:sz w:val="24"/>
              </w:rPr>
              <w:t>10.噪声：≤0.0004Abs（500nm、250nm），开机预热半小时后</w:t>
            </w:r>
          </w:p>
          <w:p>
            <w:pPr>
              <w:pStyle w:val="null5"/>
              <w:jc w:val="left"/>
            </w:pPr>
            <w:r>
              <w:rPr>
                <w:rFonts w:ascii="仿宋_GB2312" w:hAnsi="仿宋_GB2312" w:cs="仿宋_GB2312" w:eastAsia="仿宋_GB2312"/>
                <w:sz w:val="24"/>
              </w:rPr>
              <w:t>11.基线漂移：≤0.0003Abs/h（500nm，开机预热2小时后）</w:t>
            </w:r>
          </w:p>
          <w:p>
            <w:pPr>
              <w:pStyle w:val="null5"/>
              <w:jc w:val="left"/>
            </w:pPr>
            <w:r>
              <w:rPr>
                <w:rFonts w:ascii="仿宋_GB2312" w:hAnsi="仿宋_GB2312" w:cs="仿宋_GB2312" w:eastAsia="仿宋_GB2312"/>
                <w:sz w:val="24"/>
              </w:rPr>
              <w:t>12.仪器基本功能：具备光度测量、定量测量；支持DNA/蛋白质测定、蔬菜农药残留测定等扩展功能；可存储数据、记录点灯时间，支持多样品池操作。</w:t>
            </w:r>
          </w:p>
          <w:p>
            <w:pPr>
              <w:pStyle w:val="null5"/>
              <w:jc w:val="left"/>
            </w:pPr>
            <w:r>
              <w:rPr>
                <w:rFonts w:ascii="仿宋_GB2312" w:hAnsi="仿宋_GB2312" w:cs="仿宋_GB2312" w:eastAsia="仿宋_GB2312"/>
                <w:sz w:val="24"/>
              </w:rPr>
              <w:t>13.仪器扩展功能：配套VR虚拟仿真教学系统，可虚拟演示仪器结构、光路及操作流程，支持数字化实验室教学应用。</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烘箱</w:t>
            </w:r>
          </w:p>
        </w:tc>
        <w:tc>
          <w:tcPr>
            <w:tcW w:type="dxa" w:w="2076"/>
          </w:tcPr>
          <w:p>
            <w:pPr>
              <w:pStyle w:val="null5"/>
              <w:jc w:val="left"/>
            </w:pPr>
            <w:r>
              <w:rPr>
                <w:rFonts w:ascii="仿宋_GB2312" w:hAnsi="仿宋_GB2312" w:cs="仿宋_GB2312" w:eastAsia="仿宋_GB2312"/>
              </w:rPr>
              <w:t>数量：1台</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烘箱</w:t>
            </w:r>
          </w:p>
        </w:tc>
        <w:tc>
          <w:tcPr>
            <w:tcW w:type="dxa" w:w="2076"/>
          </w:tcPr>
          <w:p>
            <w:pPr>
              <w:pStyle w:val="null5"/>
              <w:jc w:val="left"/>
            </w:pPr>
            <w:r>
              <w:rPr>
                <w:rFonts w:ascii="仿宋_GB2312" w:hAnsi="仿宋_GB2312" w:cs="仿宋_GB2312" w:eastAsia="仿宋_GB2312"/>
                <w:sz w:val="24"/>
              </w:rPr>
              <w:t>1.电源电压：AC220V±10%/50Hz±2%</w:t>
            </w:r>
          </w:p>
          <w:p>
            <w:pPr>
              <w:pStyle w:val="null5"/>
              <w:jc w:val="left"/>
            </w:pPr>
            <w:r>
              <w:rPr>
                <w:rFonts w:ascii="仿宋_GB2312" w:hAnsi="仿宋_GB2312" w:cs="仿宋_GB2312" w:eastAsia="仿宋_GB2312"/>
                <w:sz w:val="24"/>
              </w:rPr>
              <w:t>2.控温范围：室温+5～300℃</w:t>
            </w:r>
          </w:p>
          <w:p>
            <w:pPr>
              <w:pStyle w:val="null5"/>
              <w:jc w:val="left"/>
            </w:pPr>
            <w:r>
              <w:rPr>
                <w:rFonts w:ascii="仿宋_GB2312" w:hAnsi="仿宋_GB2312" w:cs="仿宋_GB2312" w:eastAsia="仿宋_GB2312"/>
                <w:sz w:val="24"/>
              </w:rPr>
              <w:t>3.分辨率：≤0.1℃</w:t>
            </w:r>
          </w:p>
          <w:p>
            <w:pPr>
              <w:pStyle w:val="null5"/>
              <w:jc w:val="left"/>
            </w:pPr>
            <w:r>
              <w:rPr>
                <w:rFonts w:ascii="仿宋_GB2312" w:hAnsi="仿宋_GB2312" w:cs="仿宋_GB2312" w:eastAsia="仿宋_GB2312"/>
                <w:sz w:val="24"/>
              </w:rPr>
              <w:t>4.波动度：≤±1℃(测试点105℃)</w:t>
            </w:r>
          </w:p>
          <w:p>
            <w:pPr>
              <w:pStyle w:val="null5"/>
              <w:jc w:val="left"/>
            </w:pPr>
            <w:r>
              <w:rPr>
                <w:rFonts w:ascii="仿宋_GB2312" w:hAnsi="仿宋_GB2312" w:cs="仿宋_GB2312" w:eastAsia="仿宋_GB2312"/>
                <w:sz w:val="24"/>
              </w:rPr>
              <w:t>5.均匀度：≤±2.5℃(测试点105℃)</w:t>
            </w:r>
          </w:p>
          <w:p>
            <w:pPr>
              <w:pStyle w:val="null5"/>
              <w:jc w:val="left"/>
            </w:pPr>
            <w:r>
              <w:rPr>
                <w:rFonts w:ascii="仿宋_GB2312" w:hAnsi="仿宋_GB2312" w:cs="仿宋_GB2312" w:eastAsia="仿宋_GB2312"/>
                <w:sz w:val="24"/>
              </w:rPr>
              <w:t>6.升温速率：≥5℃/min（室温升至150℃)</w:t>
            </w:r>
          </w:p>
          <w:p>
            <w:pPr>
              <w:pStyle w:val="null5"/>
              <w:jc w:val="left"/>
            </w:pPr>
            <w:r>
              <w:rPr>
                <w:rFonts w:ascii="仿宋_GB2312" w:hAnsi="仿宋_GB2312" w:cs="仿宋_GB2312" w:eastAsia="仿宋_GB2312"/>
                <w:sz w:val="24"/>
              </w:rPr>
              <w:t>7.额定输入功率：≤2750W</w:t>
            </w:r>
          </w:p>
          <w:p>
            <w:pPr>
              <w:pStyle w:val="null5"/>
              <w:jc w:val="left"/>
            </w:pPr>
            <w:r>
              <w:rPr>
                <w:rFonts w:ascii="仿宋_GB2312" w:hAnsi="仿宋_GB2312" w:cs="仿宋_GB2312" w:eastAsia="仿宋_GB2312"/>
                <w:sz w:val="24"/>
              </w:rPr>
              <w:t xml:space="preserve"> 8.定时范围：0～9999min</w:t>
            </w:r>
          </w:p>
          <w:p>
            <w:pPr>
              <w:pStyle w:val="null5"/>
              <w:jc w:val="left"/>
            </w:pPr>
            <w:r>
              <w:rPr>
                <w:rFonts w:ascii="仿宋_GB2312" w:hAnsi="仿宋_GB2312" w:cs="仿宋_GB2312" w:eastAsia="仿宋_GB2312"/>
                <w:sz w:val="24"/>
              </w:rPr>
              <w:t>9.内胆有效容积：≥210L</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pH计</w:t>
            </w:r>
          </w:p>
        </w:tc>
        <w:tc>
          <w:tcPr>
            <w:tcW w:type="dxa" w:w="2076"/>
          </w:tcPr>
          <w:p>
            <w:pPr>
              <w:pStyle w:val="null5"/>
              <w:jc w:val="left"/>
            </w:pPr>
            <w:r>
              <w:rPr>
                <w:rFonts w:ascii="仿宋_GB2312" w:hAnsi="仿宋_GB2312" w:cs="仿宋_GB2312" w:eastAsia="仿宋_GB2312"/>
              </w:rPr>
              <w:t>数量：10台</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pH计</w:t>
            </w:r>
          </w:p>
        </w:tc>
        <w:tc>
          <w:tcPr>
            <w:tcW w:type="dxa" w:w="2076"/>
          </w:tcPr>
          <w:p>
            <w:pPr>
              <w:pStyle w:val="null5"/>
              <w:jc w:val="left"/>
            </w:pPr>
            <w:r>
              <w:rPr>
                <w:rFonts w:ascii="仿宋_GB2312" w:hAnsi="仿宋_GB2312" w:cs="仿宋_GB2312" w:eastAsia="仿宋_GB2312"/>
                <w:sz w:val="24"/>
              </w:rPr>
              <w:t>1.测量参数：pH、mV</w:t>
            </w:r>
          </w:p>
          <w:p>
            <w:pPr>
              <w:pStyle w:val="null5"/>
              <w:jc w:val="left"/>
            </w:pPr>
            <w:r>
              <w:rPr>
                <w:rFonts w:ascii="仿宋_GB2312" w:hAnsi="仿宋_GB2312" w:cs="仿宋_GB2312" w:eastAsia="仿宋_GB2312"/>
                <w:sz w:val="24"/>
              </w:rPr>
              <w:t xml:space="preserve"> 2.测量范围：pH：(0.00-14.00)pH；mV：(-1999-1999)mV</w:t>
            </w:r>
          </w:p>
          <w:p>
            <w:pPr>
              <w:pStyle w:val="null5"/>
              <w:jc w:val="left"/>
            </w:pPr>
            <w:r>
              <w:rPr>
                <w:rFonts w:ascii="仿宋_GB2312" w:hAnsi="仿宋_GB2312" w:cs="仿宋_GB2312" w:eastAsia="仿宋_GB2312"/>
                <w:sz w:val="24"/>
              </w:rPr>
              <w:t>3.分辨率：pH：≤0.01pH；mV：≤1mV</w:t>
            </w:r>
          </w:p>
          <w:p>
            <w:pPr>
              <w:pStyle w:val="null5"/>
              <w:jc w:val="left"/>
            </w:pPr>
            <w:r>
              <w:rPr>
                <w:rFonts w:ascii="仿宋_GB2312" w:hAnsi="仿宋_GB2312" w:cs="仿宋_GB2312" w:eastAsia="仿宋_GB2312"/>
                <w:sz w:val="24"/>
              </w:rPr>
              <w:t>4.基本误差：pH：≤±0.01pH±1个字；mV：≤±0.1%(FS)</w:t>
            </w:r>
          </w:p>
          <w:p>
            <w:pPr>
              <w:pStyle w:val="null5"/>
              <w:jc w:val="left"/>
            </w:pPr>
            <w:r>
              <w:rPr>
                <w:rFonts w:ascii="仿宋_GB2312" w:hAnsi="仿宋_GB2312" w:cs="仿宋_GB2312" w:eastAsia="仿宋_GB2312"/>
                <w:sz w:val="24"/>
              </w:rPr>
              <w:t>5.稳定性：≤(±0.01pH±1个字)/3h</w:t>
            </w:r>
          </w:p>
          <w:p>
            <w:pPr>
              <w:pStyle w:val="null5"/>
              <w:jc w:val="left"/>
            </w:pPr>
            <w:r>
              <w:rPr>
                <w:rFonts w:ascii="仿宋_GB2312" w:hAnsi="仿宋_GB2312" w:cs="仿宋_GB2312" w:eastAsia="仿宋_GB2312"/>
                <w:sz w:val="24"/>
              </w:rPr>
              <w:t>6.温度补偿：手动(0.0-60.0)℃</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多媒体演示设备</w:t>
            </w:r>
          </w:p>
        </w:tc>
        <w:tc>
          <w:tcPr>
            <w:tcW w:type="dxa" w:w="2076"/>
          </w:tcPr>
          <w:p>
            <w:pPr>
              <w:pStyle w:val="null5"/>
              <w:jc w:val="left"/>
            </w:pPr>
            <w:r>
              <w:rPr>
                <w:rFonts w:ascii="仿宋_GB2312" w:hAnsi="仿宋_GB2312" w:cs="仿宋_GB2312" w:eastAsia="仿宋_GB2312"/>
              </w:rPr>
              <w:t>数量：1台</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多媒体演示设备</w:t>
            </w:r>
          </w:p>
        </w:tc>
        <w:tc>
          <w:tcPr>
            <w:tcW w:type="dxa" w:w="2076"/>
          </w:tcPr>
          <w:p>
            <w:pPr>
              <w:pStyle w:val="null5"/>
              <w:jc w:val="left"/>
            </w:pPr>
            <w:r>
              <w:rPr>
                <w:rFonts w:ascii="仿宋_GB2312" w:hAnsi="仿宋_GB2312" w:cs="仿宋_GB2312" w:eastAsia="仿宋_GB2312"/>
                <w:sz w:val="24"/>
              </w:rPr>
              <w:t>1.显示技术：3LCD或DLP</w:t>
            </w:r>
          </w:p>
          <w:p>
            <w:pPr>
              <w:pStyle w:val="null5"/>
              <w:jc w:val="left"/>
            </w:pPr>
            <w:r>
              <w:rPr>
                <w:rFonts w:ascii="仿宋_GB2312" w:hAnsi="仿宋_GB2312" w:cs="仿宋_GB2312" w:eastAsia="仿宋_GB2312"/>
                <w:sz w:val="24"/>
              </w:rPr>
              <w:t>2.显示亮度：≥4500ISO流明</w:t>
            </w:r>
          </w:p>
          <w:p>
            <w:pPr>
              <w:pStyle w:val="null5"/>
              <w:jc w:val="left"/>
            </w:pPr>
            <w:r>
              <w:rPr>
                <w:rFonts w:ascii="仿宋_GB2312" w:hAnsi="仿宋_GB2312" w:cs="仿宋_GB2312" w:eastAsia="仿宋_GB2312"/>
                <w:sz w:val="24"/>
              </w:rPr>
              <w:t>3.光源类型：激光光源</w:t>
            </w:r>
          </w:p>
          <w:p>
            <w:pPr>
              <w:pStyle w:val="null5"/>
              <w:jc w:val="left"/>
            </w:pPr>
            <w:r>
              <w:rPr>
                <w:rFonts w:ascii="仿宋_GB2312" w:hAnsi="仿宋_GB2312" w:cs="仿宋_GB2312" w:eastAsia="仿宋_GB2312"/>
                <w:sz w:val="24"/>
              </w:rPr>
              <w:t>4.光学变焦倍数：≥1.2倍</w:t>
            </w:r>
          </w:p>
        </w:tc>
      </w:tr>
      <w:tr>
        <w:tc>
          <w:tcPr>
            <w:tcW w:type="dxa" w:w="2076"/>
          </w:tcPr>
          <w:p>
            <w:pPr>
              <w:pStyle w:val="null5"/>
              <w:jc w:val="left"/>
            </w:pPr>
            <w:r>
              <w:rPr>
                <w:rFonts w:ascii="仿宋_GB2312" w:hAnsi="仿宋_GB2312" w:cs="仿宋_GB2312" w:eastAsia="仿宋_GB2312"/>
              </w:rPr>
              <w:t>9</w:t>
            </w:r>
          </w:p>
        </w:tc>
        <w:tc>
          <w:tcPr>
            <w:tcW w:type="dxa" w:w="2076"/>
          </w:tcPr>
          <w:p/>
        </w:tc>
        <w:tc>
          <w:tcPr>
            <w:tcW w:type="dxa" w:w="2076"/>
          </w:tcPr>
          <w:p>
            <w:pPr>
              <w:pStyle w:val="null5"/>
              <w:jc w:val="left"/>
            </w:pPr>
            <w:r>
              <w:rPr>
                <w:rFonts w:ascii="仿宋_GB2312" w:hAnsi="仿宋_GB2312" w:cs="仿宋_GB2312" w:eastAsia="仿宋_GB2312"/>
              </w:rPr>
              <w:t>低温高速离心机</w:t>
            </w:r>
          </w:p>
        </w:tc>
        <w:tc>
          <w:tcPr>
            <w:tcW w:type="dxa" w:w="2076"/>
          </w:tcPr>
          <w:p>
            <w:pPr>
              <w:pStyle w:val="null5"/>
              <w:jc w:val="left"/>
            </w:pPr>
            <w:r>
              <w:rPr>
                <w:rFonts w:ascii="仿宋_GB2312" w:hAnsi="仿宋_GB2312" w:cs="仿宋_GB2312" w:eastAsia="仿宋_GB2312"/>
              </w:rPr>
              <w:t>数量：1台</w:t>
            </w:r>
          </w:p>
        </w:tc>
      </w:tr>
      <w:tr>
        <w:tc>
          <w:tcPr>
            <w:tcW w:type="dxa" w:w="2076"/>
          </w:tcPr>
          <w:p>
            <w:pPr>
              <w:pStyle w:val="null5"/>
              <w:jc w:val="left"/>
            </w:pPr>
            <w:r>
              <w:rPr>
                <w:rFonts w:ascii="仿宋_GB2312" w:hAnsi="仿宋_GB2312" w:cs="仿宋_GB2312" w:eastAsia="仿宋_GB2312"/>
              </w:rPr>
              <w:t>10</w:t>
            </w:r>
          </w:p>
        </w:tc>
        <w:tc>
          <w:tcPr>
            <w:tcW w:type="dxa" w:w="2076"/>
          </w:tcPr>
          <w:p/>
        </w:tc>
        <w:tc>
          <w:tcPr>
            <w:tcW w:type="dxa" w:w="2076"/>
          </w:tcPr>
          <w:p>
            <w:pPr>
              <w:pStyle w:val="null5"/>
              <w:jc w:val="left"/>
            </w:pPr>
            <w:r>
              <w:rPr>
                <w:rFonts w:ascii="仿宋_GB2312" w:hAnsi="仿宋_GB2312" w:cs="仿宋_GB2312" w:eastAsia="仿宋_GB2312"/>
              </w:rPr>
              <w:t>低温高速离心机</w:t>
            </w:r>
          </w:p>
        </w:tc>
        <w:tc>
          <w:tcPr>
            <w:tcW w:type="dxa" w:w="2076"/>
          </w:tcPr>
          <w:p>
            <w:pPr>
              <w:pStyle w:val="null5"/>
              <w:jc w:val="left"/>
            </w:pPr>
            <w:r>
              <w:rPr>
                <w:rFonts w:ascii="仿宋_GB2312" w:hAnsi="仿宋_GB2312" w:cs="仿宋_GB2312" w:eastAsia="仿宋_GB2312"/>
                <w:sz w:val="24"/>
              </w:rPr>
              <w:t>1.最高转速：≥16000r/min</w:t>
            </w:r>
          </w:p>
          <w:p>
            <w:pPr>
              <w:pStyle w:val="null5"/>
              <w:jc w:val="left"/>
            </w:pPr>
            <w:r>
              <w:rPr>
                <w:rFonts w:ascii="仿宋_GB2312" w:hAnsi="仿宋_GB2312" w:cs="仿宋_GB2312" w:eastAsia="仿宋_GB2312"/>
                <w:sz w:val="24"/>
              </w:rPr>
              <w:t>2.最大相对离心力：≥21532×g</w:t>
            </w:r>
          </w:p>
          <w:p>
            <w:pPr>
              <w:pStyle w:val="null5"/>
              <w:jc w:val="left"/>
            </w:pPr>
            <w:r>
              <w:rPr>
                <w:rFonts w:ascii="仿宋_GB2312" w:hAnsi="仿宋_GB2312" w:cs="仿宋_GB2312" w:eastAsia="仿宋_GB2312"/>
                <w:sz w:val="24"/>
              </w:rPr>
              <w:t xml:space="preserve"> 3.最大容量：≥12×5ml</w:t>
            </w:r>
          </w:p>
          <w:p>
            <w:pPr>
              <w:pStyle w:val="null5"/>
              <w:jc w:val="left"/>
            </w:pPr>
            <w:r>
              <w:rPr>
                <w:rFonts w:ascii="仿宋_GB2312" w:hAnsi="仿宋_GB2312" w:cs="仿宋_GB2312" w:eastAsia="仿宋_GB2312"/>
                <w:sz w:val="24"/>
              </w:rPr>
              <w:t xml:space="preserve"> 4.转速精度：≤±30r/min</w:t>
            </w:r>
          </w:p>
          <w:p>
            <w:pPr>
              <w:pStyle w:val="null5"/>
              <w:jc w:val="left"/>
            </w:pPr>
            <w:r>
              <w:rPr>
                <w:rFonts w:ascii="仿宋_GB2312" w:hAnsi="仿宋_GB2312" w:cs="仿宋_GB2312" w:eastAsia="仿宋_GB2312"/>
                <w:sz w:val="24"/>
              </w:rPr>
              <w:t xml:space="preserve"> 5.定时范围：1min～99min</w:t>
            </w:r>
          </w:p>
          <w:p>
            <w:pPr>
              <w:pStyle w:val="null5"/>
              <w:jc w:val="left"/>
            </w:pPr>
            <w:r>
              <w:rPr>
                <w:rFonts w:ascii="仿宋_GB2312" w:hAnsi="仿宋_GB2312" w:cs="仿宋_GB2312" w:eastAsia="仿宋_GB2312"/>
                <w:sz w:val="24"/>
              </w:rPr>
              <w:t>6.温度设置范围：-20℃～+40℃</w:t>
            </w:r>
          </w:p>
          <w:p>
            <w:pPr>
              <w:pStyle w:val="null5"/>
              <w:jc w:val="left"/>
            </w:pPr>
            <w:r>
              <w:rPr>
                <w:rFonts w:ascii="仿宋_GB2312" w:hAnsi="仿宋_GB2312" w:cs="仿宋_GB2312" w:eastAsia="仿宋_GB2312"/>
                <w:sz w:val="24"/>
              </w:rPr>
              <w:t xml:space="preserve"> 7.温控精度：≤±1℃</w:t>
            </w:r>
          </w:p>
          <w:p>
            <w:pPr>
              <w:pStyle w:val="null5"/>
              <w:jc w:val="left"/>
            </w:pPr>
            <w:r>
              <w:rPr>
                <w:rFonts w:ascii="仿宋_GB2312" w:hAnsi="仿宋_GB2312" w:cs="仿宋_GB2312" w:eastAsia="仿宋_GB2312"/>
                <w:sz w:val="24"/>
              </w:rPr>
              <w:t>8.压缩机组：高性能压缩机组</w:t>
            </w:r>
          </w:p>
          <w:p>
            <w:pPr>
              <w:pStyle w:val="null5"/>
              <w:jc w:val="left"/>
            </w:pPr>
            <w:r>
              <w:rPr>
                <w:rFonts w:ascii="仿宋_GB2312" w:hAnsi="仿宋_GB2312" w:cs="仿宋_GB2312" w:eastAsia="仿宋_GB2312"/>
                <w:sz w:val="24"/>
              </w:rPr>
              <w:t>9.环保制冷剂：R134a</w:t>
            </w:r>
          </w:p>
          <w:p>
            <w:pPr>
              <w:pStyle w:val="null5"/>
              <w:jc w:val="left"/>
            </w:pPr>
            <w:r>
              <w:rPr>
                <w:rFonts w:ascii="仿宋_GB2312" w:hAnsi="仿宋_GB2312" w:cs="仿宋_GB2312" w:eastAsia="仿宋_GB2312"/>
                <w:sz w:val="24"/>
              </w:rPr>
              <w:t>10.整机噪声：≤57dB(A)</w:t>
            </w:r>
          </w:p>
          <w:p>
            <w:pPr>
              <w:pStyle w:val="null5"/>
              <w:jc w:val="left"/>
            </w:pPr>
            <w:r>
              <w:rPr>
                <w:rFonts w:ascii="仿宋_GB2312" w:hAnsi="仿宋_GB2312" w:cs="仿宋_GB2312" w:eastAsia="仿宋_GB2312"/>
                <w:sz w:val="24"/>
              </w:rPr>
              <w:t>11.电源：AC 220V±10%，50Hz，额定电流 10A</w:t>
            </w:r>
          </w:p>
          <w:p>
            <w:pPr>
              <w:pStyle w:val="null5"/>
              <w:jc w:val="left"/>
            </w:pPr>
            <w:r>
              <w:rPr>
                <w:rFonts w:ascii="仿宋_GB2312" w:hAnsi="仿宋_GB2312" w:cs="仿宋_GB2312" w:eastAsia="仿宋_GB2312"/>
                <w:sz w:val="24"/>
              </w:rPr>
              <w:t>12.整机功率：≥700W</w:t>
            </w:r>
          </w:p>
        </w:tc>
      </w:tr>
      <w:tr>
        <w:tc>
          <w:tcPr>
            <w:tcW w:type="dxa" w:w="2076"/>
          </w:tcPr>
          <w:p>
            <w:pPr>
              <w:pStyle w:val="null5"/>
              <w:jc w:val="left"/>
            </w:pPr>
            <w:r>
              <w:rPr>
                <w:rFonts w:ascii="仿宋_GB2312" w:hAnsi="仿宋_GB2312" w:cs="仿宋_GB2312" w:eastAsia="仿宋_GB2312"/>
              </w:rPr>
              <w:t>11</w:t>
            </w:r>
          </w:p>
        </w:tc>
        <w:tc>
          <w:tcPr>
            <w:tcW w:type="dxa" w:w="2076"/>
          </w:tcPr>
          <w:p/>
        </w:tc>
        <w:tc>
          <w:tcPr>
            <w:tcW w:type="dxa" w:w="2076"/>
          </w:tcPr>
          <w:p>
            <w:pPr>
              <w:pStyle w:val="null5"/>
              <w:jc w:val="left"/>
            </w:pPr>
            <w:r>
              <w:rPr>
                <w:rFonts w:ascii="仿宋_GB2312" w:hAnsi="仿宋_GB2312" w:cs="仿宋_GB2312" w:eastAsia="仿宋_GB2312"/>
              </w:rPr>
              <w:t>氢气发生器</w:t>
            </w:r>
          </w:p>
        </w:tc>
        <w:tc>
          <w:tcPr>
            <w:tcW w:type="dxa" w:w="2076"/>
          </w:tcPr>
          <w:p>
            <w:pPr>
              <w:pStyle w:val="null5"/>
              <w:jc w:val="left"/>
            </w:pPr>
            <w:r>
              <w:rPr>
                <w:rFonts w:ascii="仿宋_GB2312" w:hAnsi="仿宋_GB2312" w:cs="仿宋_GB2312" w:eastAsia="仿宋_GB2312"/>
              </w:rPr>
              <w:t>数量：1台</w:t>
            </w:r>
          </w:p>
        </w:tc>
      </w:tr>
      <w:tr>
        <w:tc>
          <w:tcPr>
            <w:tcW w:type="dxa" w:w="2076"/>
          </w:tcPr>
          <w:p>
            <w:pPr>
              <w:pStyle w:val="null5"/>
              <w:jc w:val="left"/>
            </w:pPr>
            <w:r>
              <w:rPr>
                <w:rFonts w:ascii="仿宋_GB2312" w:hAnsi="仿宋_GB2312" w:cs="仿宋_GB2312" w:eastAsia="仿宋_GB2312"/>
              </w:rPr>
              <w:t>12</w:t>
            </w:r>
          </w:p>
        </w:tc>
        <w:tc>
          <w:tcPr>
            <w:tcW w:type="dxa" w:w="2076"/>
          </w:tcPr>
          <w:p/>
        </w:tc>
        <w:tc>
          <w:tcPr>
            <w:tcW w:type="dxa" w:w="2076"/>
          </w:tcPr>
          <w:p>
            <w:pPr>
              <w:pStyle w:val="null5"/>
              <w:jc w:val="left"/>
            </w:pPr>
            <w:r>
              <w:rPr>
                <w:rFonts w:ascii="仿宋_GB2312" w:hAnsi="仿宋_GB2312" w:cs="仿宋_GB2312" w:eastAsia="仿宋_GB2312"/>
              </w:rPr>
              <w:t>氢气发生器</w:t>
            </w:r>
          </w:p>
        </w:tc>
        <w:tc>
          <w:tcPr>
            <w:tcW w:type="dxa" w:w="2076"/>
          </w:tcPr>
          <w:p>
            <w:pPr>
              <w:pStyle w:val="null5"/>
              <w:jc w:val="left"/>
            </w:pPr>
            <w:r>
              <w:rPr>
                <w:rFonts w:ascii="仿宋_GB2312" w:hAnsi="仿宋_GB2312" w:cs="仿宋_GB2312" w:eastAsia="仿宋_GB2312"/>
                <w:sz w:val="24"/>
              </w:rPr>
              <w:t>1.电源电压：220v，50Hz</w:t>
            </w:r>
          </w:p>
          <w:p>
            <w:pPr>
              <w:pStyle w:val="null5"/>
              <w:jc w:val="left"/>
            </w:pPr>
            <w:r>
              <w:rPr>
                <w:rFonts w:ascii="仿宋_GB2312" w:hAnsi="仿宋_GB2312" w:cs="仿宋_GB2312" w:eastAsia="仿宋_GB2312"/>
                <w:sz w:val="24"/>
              </w:rPr>
              <w:t>2.最大功率：≥180W</w:t>
            </w:r>
          </w:p>
          <w:p>
            <w:pPr>
              <w:pStyle w:val="null5"/>
              <w:jc w:val="left"/>
            </w:pPr>
            <w:r>
              <w:rPr>
                <w:rFonts w:ascii="仿宋_GB2312" w:hAnsi="仿宋_GB2312" w:cs="仿宋_GB2312" w:eastAsia="仿宋_GB2312"/>
                <w:sz w:val="24"/>
              </w:rPr>
              <w:t xml:space="preserve"> 3.环境温度：0-40℃，相对湿度≤85%。</w:t>
            </w:r>
          </w:p>
          <w:p>
            <w:pPr>
              <w:pStyle w:val="null5"/>
              <w:jc w:val="left"/>
            </w:pPr>
            <w:r>
              <w:rPr>
                <w:rFonts w:ascii="仿宋_GB2312" w:hAnsi="仿宋_GB2312" w:cs="仿宋_GB2312" w:eastAsia="仿宋_GB2312"/>
                <w:sz w:val="24"/>
              </w:rPr>
              <w:t xml:space="preserve"> 4.环境条件：无大量粉尘及腐蚀性气体。</w:t>
            </w:r>
          </w:p>
          <w:p>
            <w:pPr>
              <w:pStyle w:val="null5"/>
              <w:jc w:val="left"/>
            </w:pPr>
            <w:r>
              <w:rPr>
                <w:rFonts w:ascii="仿宋_GB2312" w:hAnsi="仿宋_GB2312" w:cs="仿宋_GB2312" w:eastAsia="仿宋_GB2312"/>
                <w:sz w:val="24"/>
              </w:rPr>
              <w:t>5.产气纯度：≥99.999%（相对含氧量）</w:t>
            </w:r>
          </w:p>
          <w:p>
            <w:pPr>
              <w:pStyle w:val="null5"/>
              <w:jc w:val="left"/>
            </w:pPr>
            <w:r>
              <w:rPr>
                <w:rFonts w:ascii="仿宋_GB2312" w:hAnsi="仿宋_GB2312" w:cs="仿宋_GB2312" w:eastAsia="仿宋_GB2312"/>
                <w:sz w:val="24"/>
              </w:rPr>
              <w:t xml:space="preserve"> 6.输出流量：0-500ml/min</w:t>
            </w:r>
          </w:p>
          <w:p>
            <w:pPr>
              <w:pStyle w:val="null5"/>
              <w:jc w:val="left"/>
            </w:pPr>
            <w:r>
              <w:rPr>
                <w:rFonts w:ascii="仿宋_GB2312" w:hAnsi="仿宋_GB2312" w:cs="仿宋_GB2312" w:eastAsia="仿宋_GB2312"/>
                <w:sz w:val="24"/>
              </w:rPr>
              <w:t>7.输出压力：≤0.4MPa</w:t>
            </w:r>
          </w:p>
        </w:tc>
      </w:tr>
      <w:tr>
        <w:tc>
          <w:tcPr>
            <w:tcW w:type="dxa" w:w="2076"/>
          </w:tcPr>
          <w:p>
            <w:pPr>
              <w:pStyle w:val="null5"/>
              <w:jc w:val="left"/>
            </w:pPr>
            <w:r>
              <w:rPr>
                <w:rFonts w:ascii="仿宋_GB2312" w:hAnsi="仿宋_GB2312" w:cs="仿宋_GB2312" w:eastAsia="仿宋_GB2312"/>
              </w:rPr>
              <w:t>13</w:t>
            </w:r>
          </w:p>
        </w:tc>
        <w:tc>
          <w:tcPr>
            <w:tcW w:type="dxa" w:w="2076"/>
          </w:tcPr>
          <w:p/>
        </w:tc>
        <w:tc>
          <w:tcPr>
            <w:tcW w:type="dxa" w:w="2076"/>
          </w:tcPr>
          <w:p>
            <w:pPr>
              <w:pStyle w:val="null5"/>
              <w:jc w:val="left"/>
            </w:pPr>
            <w:r>
              <w:rPr>
                <w:rFonts w:ascii="仿宋_GB2312" w:hAnsi="仿宋_GB2312" w:cs="仿宋_GB2312" w:eastAsia="仿宋_GB2312"/>
              </w:rPr>
              <w:t>操作面</w:t>
            </w:r>
          </w:p>
        </w:tc>
        <w:tc>
          <w:tcPr>
            <w:tcW w:type="dxa" w:w="2076"/>
          </w:tcPr>
          <w:p>
            <w:pPr>
              <w:pStyle w:val="null5"/>
              <w:jc w:val="left"/>
            </w:pPr>
            <w:r>
              <w:rPr>
                <w:rFonts w:ascii="仿宋_GB2312" w:hAnsi="仿宋_GB2312" w:cs="仿宋_GB2312" w:eastAsia="仿宋_GB2312"/>
              </w:rPr>
              <w:t>数量：1台</w:t>
            </w:r>
          </w:p>
        </w:tc>
      </w:tr>
      <w:tr>
        <w:tc>
          <w:tcPr>
            <w:tcW w:type="dxa" w:w="2076"/>
          </w:tcPr>
          <w:p>
            <w:pPr>
              <w:pStyle w:val="null5"/>
              <w:jc w:val="left"/>
            </w:pPr>
            <w:r>
              <w:rPr>
                <w:rFonts w:ascii="仿宋_GB2312" w:hAnsi="仿宋_GB2312" w:cs="仿宋_GB2312" w:eastAsia="仿宋_GB2312"/>
              </w:rPr>
              <w:t>14</w:t>
            </w:r>
          </w:p>
        </w:tc>
        <w:tc>
          <w:tcPr>
            <w:tcW w:type="dxa" w:w="2076"/>
          </w:tcPr>
          <w:p/>
        </w:tc>
        <w:tc>
          <w:tcPr>
            <w:tcW w:type="dxa" w:w="2076"/>
          </w:tcPr>
          <w:p>
            <w:pPr>
              <w:pStyle w:val="null5"/>
              <w:jc w:val="left"/>
            </w:pPr>
            <w:r>
              <w:rPr>
                <w:rFonts w:ascii="仿宋_GB2312" w:hAnsi="仿宋_GB2312" w:cs="仿宋_GB2312" w:eastAsia="仿宋_GB2312"/>
              </w:rPr>
              <w:t>操作面</w:t>
            </w:r>
          </w:p>
        </w:tc>
        <w:tc>
          <w:tcPr>
            <w:tcW w:type="dxa" w:w="2076"/>
          </w:tcPr>
          <w:p>
            <w:pPr>
              <w:pStyle w:val="null5"/>
              <w:jc w:val="left"/>
            </w:pPr>
            <w:r>
              <w:rPr>
                <w:rFonts w:ascii="仿宋_GB2312" w:hAnsi="仿宋_GB2312" w:cs="仿宋_GB2312" w:eastAsia="仿宋_GB2312"/>
                <w:sz w:val="24"/>
              </w:rPr>
              <w:t>1.台面采用实芯理化板，厚度≥12.7mm，整体总长≥26m；操作台宽度、高度符合实验室通用标准，可同时容纳不少于30名学生开展实验操作；台面具备优良防腐蚀、耐酸碱、抗化学试剂侵蚀性能。</w:t>
            </w:r>
          </w:p>
          <w:p>
            <w:pPr>
              <w:pStyle w:val="null5"/>
              <w:jc w:val="left"/>
            </w:pPr>
            <w:r>
              <w:rPr>
                <w:rFonts w:ascii="仿宋_GB2312" w:hAnsi="仿宋_GB2312" w:cs="仿宋_GB2312" w:eastAsia="仿宋_GB2312"/>
                <w:sz w:val="24"/>
              </w:rPr>
              <w:t xml:space="preserve"> 2.柜体抽屉配置不锈钢三节静音滑轨，推拉顺畅、防锈耐用。</w:t>
            </w:r>
          </w:p>
          <w:p>
            <w:pPr>
              <w:pStyle w:val="null5"/>
              <w:jc w:val="left"/>
            </w:pPr>
            <w:r>
              <w:rPr>
                <w:rFonts w:ascii="仿宋_GB2312" w:hAnsi="仿宋_GB2312" w:cs="仿宋_GB2312" w:eastAsia="仿宋_GB2312"/>
                <w:sz w:val="24"/>
              </w:rPr>
              <w:t>3.整套操作台配套完善给排水系统及供电系统。</w:t>
            </w:r>
          </w:p>
          <w:p>
            <w:pPr>
              <w:pStyle w:val="null5"/>
              <w:jc w:val="left"/>
            </w:pPr>
            <w:r>
              <w:rPr>
                <w:rFonts w:ascii="仿宋_GB2312" w:hAnsi="仿宋_GB2312" w:cs="仿宋_GB2312" w:eastAsia="仿宋_GB2312"/>
                <w:sz w:val="24"/>
              </w:rPr>
              <w:t xml:space="preserve"> 4.操作台柜体及台面整体具备防腐蚀、耐酸碱、耐磨特性，适配理化实验环境。</w:t>
            </w:r>
          </w:p>
          <w:p>
            <w:pPr>
              <w:pStyle w:val="null5"/>
              <w:jc w:val="left"/>
            </w:pPr>
            <w:r>
              <w:rPr>
                <w:rFonts w:ascii="仿宋_GB2312" w:hAnsi="仿宋_GB2312" w:cs="仿宋_GB2312" w:eastAsia="仿宋_GB2312"/>
                <w:sz w:val="24"/>
              </w:rPr>
              <w:t>5.操作台正下方及周边操作区域采用自流平找平，同时PVC地胶整体铺设。</w:t>
            </w:r>
          </w:p>
        </w:tc>
      </w:tr>
      <w:tr>
        <w:tc>
          <w:tcPr>
            <w:tcW w:type="dxa" w:w="2076"/>
          </w:tcPr>
          <w:p>
            <w:pPr>
              <w:pStyle w:val="null5"/>
              <w:jc w:val="left"/>
            </w:pPr>
            <w:r>
              <w:rPr>
                <w:rFonts w:ascii="仿宋_GB2312" w:hAnsi="仿宋_GB2312" w:cs="仿宋_GB2312" w:eastAsia="仿宋_GB2312"/>
              </w:rPr>
              <w:t>15</w:t>
            </w:r>
          </w:p>
        </w:tc>
        <w:tc>
          <w:tcPr>
            <w:tcW w:type="dxa" w:w="2076"/>
          </w:tcPr>
          <w:p/>
        </w:tc>
        <w:tc>
          <w:tcPr>
            <w:tcW w:type="dxa" w:w="2076"/>
          </w:tcPr>
          <w:p>
            <w:pPr>
              <w:pStyle w:val="null5"/>
              <w:jc w:val="left"/>
            </w:pPr>
            <w:r>
              <w:rPr>
                <w:rFonts w:ascii="仿宋_GB2312" w:hAnsi="仿宋_GB2312" w:cs="仿宋_GB2312" w:eastAsia="仿宋_GB2312"/>
              </w:rPr>
              <w:t>红外分光光度计（核心产品）</w:t>
            </w:r>
          </w:p>
        </w:tc>
        <w:tc>
          <w:tcPr>
            <w:tcW w:type="dxa" w:w="2076"/>
          </w:tcPr>
          <w:p>
            <w:pPr>
              <w:pStyle w:val="null5"/>
              <w:jc w:val="left"/>
            </w:pPr>
            <w:r>
              <w:rPr>
                <w:rFonts w:ascii="仿宋_GB2312" w:hAnsi="仿宋_GB2312" w:cs="仿宋_GB2312" w:eastAsia="仿宋_GB2312"/>
              </w:rPr>
              <w:t>数量：1台</w:t>
            </w:r>
          </w:p>
        </w:tc>
      </w:tr>
      <w:tr>
        <w:tc>
          <w:tcPr>
            <w:tcW w:type="dxa" w:w="2076"/>
          </w:tcPr>
          <w:p>
            <w:pPr>
              <w:pStyle w:val="null5"/>
              <w:jc w:val="left"/>
            </w:pPr>
            <w:r>
              <w:rPr>
                <w:rFonts w:ascii="仿宋_GB2312" w:hAnsi="仿宋_GB2312" w:cs="仿宋_GB2312" w:eastAsia="仿宋_GB2312"/>
              </w:rPr>
              <w:t>16</w:t>
            </w:r>
          </w:p>
        </w:tc>
        <w:tc>
          <w:tcPr>
            <w:tcW w:type="dxa" w:w="2076"/>
          </w:tcPr>
          <w:p/>
        </w:tc>
        <w:tc>
          <w:tcPr>
            <w:tcW w:type="dxa" w:w="2076"/>
          </w:tcPr>
          <w:p>
            <w:pPr>
              <w:pStyle w:val="null5"/>
              <w:jc w:val="left"/>
            </w:pPr>
            <w:r>
              <w:rPr>
                <w:rFonts w:ascii="仿宋_GB2312" w:hAnsi="仿宋_GB2312" w:cs="仿宋_GB2312" w:eastAsia="仿宋_GB2312"/>
              </w:rPr>
              <w:t>红外分光光度计（核心产品）</w:t>
            </w:r>
          </w:p>
        </w:tc>
        <w:tc>
          <w:tcPr>
            <w:tcW w:type="dxa" w:w="2076"/>
          </w:tcPr>
          <w:p>
            <w:pPr>
              <w:pStyle w:val="null5"/>
              <w:jc w:val="left"/>
            </w:pPr>
            <w:r>
              <w:rPr>
                <w:rFonts w:ascii="仿宋_GB2312" w:hAnsi="仿宋_GB2312" w:cs="仿宋_GB2312" w:eastAsia="仿宋_GB2312"/>
              </w:rPr>
              <w:t>1.光谱范围：≥7800 ~ 350 cm-1</w:t>
            </w:r>
          </w:p>
        </w:tc>
      </w:tr>
      <w:tr>
        <w:tc>
          <w:tcPr>
            <w:tcW w:type="dxa" w:w="2076"/>
          </w:tcPr>
          <w:p>
            <w:pPr>
              <w:pStyle w:val="null5"/>
              <w:jc w:val="left"/>
            </w:pPr>
            <w:r>
              <w:rPr>
                <w:rFonts w:ascii="仿宋_GB2312" w:hAnsi="仿宋_GB2312" w:cs="仿宋_GB2312" w:eastAsia="仿宋_GB2312"/>
              </w:rPr>
              <w:t>17</w:t>
            </w:r>
          </w:p>
        </w:tc>
        <w:tc>
          <w:tcPr>
            <w:tcW w:type="dxa" w:w="2076"/>
          </w:tcPr>
          <w:p/>
        </w:tc>
        <w:tc>
          <w:tcPr>
            <w:tcW w:type="dxa" w:w="2076"/>
          </w:tcPr>
          <w:p>
            <w:pPr>
              <w:pStyle w:val="null5"/>
              <w:jc w:val="left"/>
            </w:pPr>
            <w:r>
              <w:rPr>
                <w:rFonts w:ascii="仿宋_GB2312" w:hAnsi="仿宋_GB2312" w:cs="仿宋_GB2312" w:eastAsia="仿宋_GB2312"/>
              </w:rPr>
              <w:t>红外分光光度计（核心产品）</w:t>
            </w:r>
          </w:p>
        </w:tc>
        <w:tc>
          <w:tcPr>
            <w:tcW w:type="dxa" w:w="2076"/>
          </w:tcPr>
          <w:p>
            <w:pPr>
              <w:pStyle w:val="null5"/>
              <w:jc w:val="left"/>
            </w:pPr>
            <w:r>
              <w:rPr>
                <w:rFonts w:ascii="仿宋_GB2312" w:hAnsi="仿宋_GB2312" w:cs="仿宋_GB2312" w:eastAsia="仿宋_GB2312"/>
              </w:rPr>
              <w:t>2.光谱分辨率：≤0.9cm-1。用户可根据测试需要，将光谱分辨率自由设置成0.9cm-1，2cm-1，4cm-1，8cm-1，16cm-1等。</w:t>
            </w:r>
          </w:p>
        </w:tc>
      </w:tr>
      <w:tr>
        <w:tc>
          <w:tcPr>
            <w:tcW w:type="dxa" w:w="2076"/>
          </w:tcPr>
          <w:p>
            <w:pPr>
              <w:pStyle w:val="null5"/>
              <w:jc w:val="left"/>
            </w:pPr>
            <w:r>
              <w:rPr>
                <w:rFonts w:ascii="仿宋_GB2312" w:hAnsi="仿宋_GB2312" w:cs="仿宋_GB2312" w:eastAsia="仿宋_GB2312"/>
              </w:rPr>
              <w:t>18</w:t>
            </w:r>
          </w:p>
        </w:tc>
        <w:tc>
          <w:tcPr>
            <w:tcW w:type="dxa" w:w="2076"/>
          </w:tcPr>
          <w:p/>
        </w:tc>
        <w:tc>
          <w:tcPr>
            <w:tcW w:type="dxa" w:w="2076"/>
          </w:tcPr>
          <w:p>
            <w:pPr>
              <w:pStyle w:val="null5"/>
              <w:jc w:val="left"/>
            </w:pPr>
            <w:r>
              <w:rPr>
                <w:rFonts w:ascii="仿宋_GB2312" w:hAnsi="仿宋_GB2312" w:cs="仿宋_GB2312" w:eastAsia="仿宋_GB2312"/>
              </w:rPr>
              <w:t>红外分光光度计（核心产品）</w:t>
            </w:r>
          </w:p>
        </w:tc>
        <w:tc>
          <w:tcPr>
            <w:tcW w:type="dxa" w:w="2076"/>
          </w:tcPr>
          <w:p>
            <w:pPr>
              <w:pStyle w:val="null5"/>
              <w:jc w:val="left"/>
            </w:pPr>
            <w:r>
              <w:rPr>
                <w:rFonts w:ascii="仿宋_GB2312" w:hAnsi="仿宋_GB2312" w:cs="仿宋_GB2312" w:eastAsia="仿宋_GB2312"/>
              </w:rPr>
              <w:t>3.波数准确度：≤±0.1cm-1</w:t>
            </w:r>
          </w:p>
        </w:tc>
      </w:tr>
      <w:tr>
        <w:tc>
          <w:tcPr>
            <w:tcW w:type="dxa" w:w="2076"/>
          </w:tcPr>
          <w:p>
            <w:pPr>
              <w:pStyle w:val="null5"/>
              <w:jc w:val="left"/>
            </w:pPr>
            <w:r>
              <w:rPr>
                <w:rFonts w:ascii="仿宋_GB2312" w:hAnsi="仿宋_GB2312" w:cs="仿宋_GB2312" w:eastAsia="仿宋_GB2312"/>
              </w:rPr>
              <w:t>19</w:t>
            </w:r>
          </w:p>
        </w:tc>
        <w:tc>
          <w:tcPr>
            <w:tcW w:type="dxa" w:w="2076"/>
          </w:tcPr>
          <w:p/>
        </w:tc>
        <w:tc>
          <w:tcPr>
            <w:tcW w:type="dxa" w:w="2076"/>
          </w:tcPr>
          <w:p>
            <w:pPr>
              <w:pStyle w:val="null5"/>
              <w:jc w:val="left"/>
            </w:pPr>
            <w:r>
              <w:rPr>
                <w:rFonts w:ascii="仿宋_GB2312" w:hAnsi="仿宋_GB2312" w:cs="仿宋_GB2312" w:eastAsia="仿宋_GB2312"/>
              </w:rPr>
              <w:t>红外分光光度计（核心产品）</w:t>
            </w:r>
          </w:p>
        </w:tc>
        <w:tc>
          <w:tcPr>
            <w:tcW w:type="dxa" w:w="2076"/>
          </w:tcPr>
          <w:p>
            <w:pPr>
              <w:pStyle w:val="null5"/>
              <w:jc w:val="left"/>
            </w:pPr>
            <w:r>
              <w:rPr>
                <w:rFonts w:ascii="仿宋_GB2312" w:hAnsi="仿宋_GB2312" w:cs="仿宋_GB2312" w:eastAsia="仿宋_GB2312"/>
              </w:rPr>
              <w:t>4.波数重复度：≤±0.0005cm-1</w:t>
            </w:r>
          </w:p>
        </w:tc>
      </w:tr>
      <w:tr>
        <w:tc>
          <w:tcPr>
            <w:tcW w:type="dxa" w:w="2076"/>
          </w:tcPr>
          <w:p>
            <w:pPr>
              <w:pStyle w:val="null5"/>
              <w:jc w:val="left"/>
            </w:pPr>
            <w:r>
              <w:rPr>
                <w:rFonts w:ascii="仿宋_GB2312" w:hAnsi="仿宋_GB2312" w:cs="仿宋_GB2312" w:eastAsia="仿宋_GB2312"/>
              </w:rPr>
              <w:t>20</w:t>
            </w:r>
          </w:p>
        </w:tc>
        <w:tc>
          <w:tcPr>
            <w:tcW w:type="dxa" w:w="2076"/>
          </w:tcPr>
          <w:p/>
        </w:tc>
        <w:tc>
          <w:tcPr>
            <w:tcW w:type="dxa" w:w="2076"/>
          </w:tcPr>
          <w:p>
            <w:pPr>
              <w:pStyle w:val="null5"/>
              <w:jc w:val="left"/>
            </w:pPr>
            <w:r>
              <w:rPr>
                <w:rFonts w:ascii="仿宋_GB2312" w:hAnsi="仿宋_GB2312" w:cs="仿宋_GB2312" w:eastAsia="仿宋_GB2312"/>
              </w:rPr>
              <w:t>红外分光光度计（核心产品）</w:t>
            </w:r>
          </w:p>
        </w:tc>
        <w:tc>
          <w:tcPr>
            <w:tcW w:type="dxa" w:w="2076"/>
          </w:tcPr>
          <w:p>
            <w:pPr>
              <w:pStyle w:val="null5"/>
              <w:jc w:val="left"/>
            </w:pPr>
            <w:r>
              <w:rPr>
                <w:rFonts w:ascii="仿宋_GB2312" w:hAnsi="仿宋_GB2312" w:cs="仿宋_GB2312" w:eastAsia="仿宋_GB2312"/>
              </w:rPr>
              <w:t>5.信噪比：≥37000:1</w:t>
            </w:r>
          </w:p>
        </w:tc>
      </w:tr>
      <w:tr>
        <w:tc>
          <w:tcPr>
            <w:tcW w:type="dxa" w:w="2076"/>
          </w:tcPr>
          <w:p>
            <w:pPr>
              <w:pStyle w:val="null5"/>
              <w:jc w:val="left"/>
            </w:pPr>
            <w:r>
              <w:rPr>
                <w:rFonts w:ascii="仿宋_GB2312" w:hAnsi="仿宋_GB2312" w:cs="仿宋_GB2312" w:eastAsia="仿宋_GB2312"/>
              </w:rPr>
              <w:t>21</w:t>
            </w:r>
          </w:p>
        </w:tc>
        <w:tc>
          <w:tcPr>
            <w:tcW w:type="dxa" w:w="2076"/>
          </w:tcPr>
          <w:p/>
        </w:tc>
        <w:tc>
          <w:tcPr>
            <w:tcW w:type="dxa" w:w="2076"/>
          </w:tcPr>
          <w:p>
            <w:pPr>
              <w:pStyle w:val="null5"/>
              <w:jc w:val="left"/>
            </w:pPr>
            <w:r>
              <w:rPr>
                <w:rFonts w:ascii="仿宋_GB2312" w:hAnsi="仿宋_GB2312" w:cs="仿宋_GB2312" w:eastAsia="仿宋_GB2312"/>
              </w:rPr>
              <w:t>红外分光光度计（核心产品）</w:t>
            </w:r>
          </w:p>
        </w:tc>
        <w:tc>
          <w:tcPr>
            <w:tcW w:type="dxa" w:w="2076"/>
          </w:tcPr>
          <w:p>
            <w:pPr>
              <w:pStyle w:val="null5"/>
              <w:jc w:val="left"/>
            </w:pPr>
            <w:r>
              <w:rPr>
                <w:rFonts w:ascii="仿宋_GB2312" w:hAnsi="仿宋_GB2312" w:cs="仿宋_GB2312" w:eastAsia="仿宋_GB2312"/>
              </w:rPr>
              <w:t>6.透过率重复性：≤0.1%T</w:t>
            </w:r>
          </w:p>
        </w:tc>
      </w:tr>
      <w:tr>
        <w:tc>
          <w:tcPr>
            <w:tcW w:type="dxa" w:w="2076"/>
          </w:tcPr>
          <w:p>
            <w:pPr>
              <w:pStyle w:val="null5"/>
              <w:jc w:val="left"/>
            </w:pPr>
            <w:r>
              <w:rPr>
                <w:rFonts w:ascii="仿宋_GB2312" w:hAnsi="仿宋_GB2312" w:cs="仿宋_GB2312" w:eastAsia="仿宋_GB2312"/>
              </w:rPr>
              <w:t>22</w:t>
            </w:r>
          </w:p>
        </w:tc>
        <w:tc>
          <w:tcPr>
            <w:tcW w:type="dxa" w:w="2076"/>
          </w:tcPr>
          <w:p/>
        </w:tc>
        <w:tc>
          <w:tcPr>
            <w:tcW w:type="dxa" w:w="2076"/>
          </w:tcPr>
          <w:p>
            <w:pPr>
              <w:pStyle w:val="null5"/>
              <w:jc w:val="left"/>
            </w:pPr>
            <w:r>
              <w:rPr>
                <w:rFonts w:ascii="仿宋_GB2312" w:hAnsi="仿宋_GB2312" w:cs="仿宋_GB2312" w:eastAsia="仿宋_GB2312"/>
              </w:rPr>
              <w:t>红外分光光度计（核心产品）</w:t>
            </w:r>
          </w:p>
        </w:tc>
        <w:tc>
          <w:tcPr>
            <w:tcW w:type="dxa" w:w="2076"/>
          </w:tcPr>
          <w:p>
            <w:pPr>
              <w:pStyle w:val="null5"/>
              <w:jc w:val="left"/>
            </w:pPr>
            <w:r>
              <w:rPr>
                <w:rFonts w:ascii="仿宋_GB2312" w:hAnsi="仿宋_GB2312" w:cs="仿宋_GB2312" w:eastAsia="仿宋_GB2312"/>
              </w:rPr>
              <w:t>7.吸光度重复性：≤0.002Abs</w:t>
            </w:r>
          </w:p>
        </w:tc>
      </w:tr>
      <w:tr>
        <w:tc>
          <w:tcPr>
            <w:tcW w:type="dxa" w:w="2076"/>
          </w:tcPr>
          <w:p>
            <w:pPr>
              <w:pStyle w:val="null5"/>
              <w:jc w:val="left"/>
            </w:pPr>
            <w:r>
              <w:rPr>
                <w:rFonts w:ascii="仿宋_GB2312" w:hAnsi="仿宋_GB2312" w:cs="仿宋_GB2312" w:eastAsia="仿宋_GB2312"/>
              </w:rPr>
              <w:t>23</w:t>
            </w:r>
          </w:p>
        </w:tc>
        <w:tc>
          <w:tcPr>
            <w:tcW w:type="dxa" w:w="2076"/>
          </w:tcPr>
          <w:p/>
        </w:tc>
        <w:tc>
          <w:tcPr>
            <w:tcW w:type="dxa" w:w="2076"/>
          </w:tcPr>
          <w:p>
            <w:pPr>
              <w:pStyle w:val="null5"/>
              <w:jc w:val="left"/>
            </w:pPr>
            <w:r>
              <w:rPr>
                <w:rFonts w:ascii="仿宋_GB2312" w:hAnsi="仿宋_GB2312" w:cs="仿宋_GB2312" w:eastAsia="仿宋_GB2312"/>
              </w:rPr>
              <w:t>红外分光光度计（核心产品）</w:t>
            </w:r>
          </w:p>
        </w:tc>
        <w:tc>
          <w:tcPr>
            <w:tcW w:type="dxa" w:w="2076"/>
          </w:tcPr>
          <w:p>
            <w:pPr>
              <w:pStyle w:val="null5"/>
              <w:jc w:val="left"/>
            </w:pPr>
            <w:r>
              <w:rPr>
                <w:rFonts w:ascii="仿宋_GB2312" w:hAnsi="仿宋_GB2312" w:cs="仿宋_GB2312" w:eastAsia="仿宋_GB2312"/>
              </w:rPr>
              <w:t>8.吸光度动态范围：≥2.5Abs</w:t>
            </w:r>
          </w:p>
        </w:tc>
      </w:tr>
      <w:tr>
        <w:tc>
          <w:tcPr>
            <w:tcW w:type="dxa" w:w="2076"/>
          </w:tcPr>
          <w:p>
            <w:pPr>
              <w:pStyle w:val="null5"/>
              <w:jc w:val="left"/>
            </w:pPr>
            <w:r>
              <w:rPr>
                <w:rFonts w:ascii="仿宋_GB2312" w:hAnsi="仿宋_GB2312" w:cs="仿宋_GB2312" w:eastAsia="仿宋_GB2312"/>
              </w:rPr>
              <w:t>24</w:t>
            </w:r>
          </w:p>
        </w:tc>
        <w:tc>
          <w:tcPr>
            <w:tcW w:type="dxa" w:w="2076"/>
          </w:tcPr>
          <w:p/>
        </w:tc>
        <w:tc>
          <w:tcPr>
            <w:tcW w:type="dxa" w:w="2076"/>
          </w:tcPr>
          <w:p>
            <w:pPr>
              <w:pStyle w:val="null5"/>
              <w:jc w:val="left"/>
            </w:pPr>
            <w:r>
              <w:rPr>
                <w:rFonts w:ascii="仿宋_GB2312" w:hAnsi="仿宋_GB2312" w:cs="仿宋_GB2312" w:eastAsia="仿宋_GB2312"/>
              </w:rPr>
              <w:t>红外分光光度计（核心产品）</w:t>
            </w:r>
          </w:p>
        </w:tc>
        <w:tc>
          <w:tcPr>
            <w:tcW w:type="dxa" w:w="2076"/>
          </w:tcPr>
          <w:p>
            <w:pPr>
              <w:pStyle w:val="null5"/>
              <w:jc w:val="left"/>
            </w:pPr>
            <w:r>
              <w:rPr>
                <w:rFonts w:ascii="仿宋_GB2312" w:hAnsi="仿宋_GB2312" w:cs="仿宋_GB2312" w:eastAsia="仿宋_GB2312"/>
              </w:rPr>
              <w:t>9.线性度：≤±1%</w:t>
            </w:r>
          </w:p>
        </w:tc>
      </w:tr>
      <w:tr>
        <w:tc>
          <w:tcPr>
            <w:tcW w:type="dxa" w:w="2076"/>
          </w:tcPr>
          <w:p>
            <w:pPr>
              <w:pStyle w:val="null5"/>
              <w:jc w:val="left"/>
            </w:pPr>
            <w:r>
              <w:rPr>
                <w:rFonts w:ascii="仿宋_GB2312" w:hAnsi="仿宋_GB2312" w:cs="仿宋_GB2312" w:eastAsia="仿宋_GB2312"/>
              </w:rPr>
              <w:t>25</w:t>
            </w:r>
          </w:p>
        </w:tc>
        <w:tc>
          <w:tcPr>
            <w:tcW w:type="dxa" w:w="2076"/>
          </w:tcPr>
          <w:p/>
        </w:tc>
        <w:tc>
          <w:tcPr>
            <w:tcW w:type="dxa" w:w="2076"/>
          </w:tcPr>
          <w:p>
            <w:pPr>
              <w:pStyle w:val="null5"/>
              <w:jc w:val="left"/>
            </w:pPr>
            <w:r>
              <w:rPr>
                <w:rFonts w:ascii="仿宋_GB2312" w:hAnsi="仿宋_GB2312" w:cs="仿宋_GB2312" w:eastAsia="仿宋_GB2312"/>
              </w:rPr>
              <w:t>红外分光光度计（核心产品）</w:t>
            </w:r>
          </w:p>
        </w:tc>
        <w:tc>
          <w:tcPr>
            <w:tcW w:type="dxa" w:w="2076"/>
          </w:tcPr>
          <w:p>
            <w:pPr>
              <w:pStyle w:val="null5"/>
              <w:jc w:val="left"/>
            </w:pPr>
            <w:r>
              <w:rPr>
                <w:rFonts w:ascii="仿宋_GB2312" w:hAnsi="仿宋_GB2312" w:cs="仿宋_GB2312" w:eastAsia="仿宋_GB2312"/>
              </w:rPr>
              <w:t>10.100%T线平直度：≤1%T</w:t>
            </w:r>
          </w:p>
        </w:tc>
      </w:tr>
      <w:tr>
        <w:tc>
          <w:tcPr>
            <w:tcW w:type="dxa" w:w="2076"/>
          </w:tcPr>
          <w:p>
            <w:pPr>
              <w:pStyle w:val="null5"/>
              <w:jc w:val="left"/>
            </w:pPr>
            <w:r>
              <w:rPr>
                <w:rFonts w:ascii="仿宋_GB2312" w:hAnsi="仿宋_GB2312" w:cs="仿宋_GB2312" w:eastAsia="仿宋_GB2312"/>
              </w:rPr>
              <w:t>26</w:t>
            </w:r>
          </w:p>
        </w:tc>
        <w:tc>
          <w:tcPr>
            <w:tcW w:type="dxa" w:w="2076"/>
          </w:tcPr>
          <w:p/>
        </w:tc>
        <w:tc>
          <w:tcPr>
            <w:tcW w:type="dxa" w:w="2076"/>
          </w:tcPr>
          <w:p>
            <w:pPr>
              <w:pStyle w:val="null5"/>
              <w:jc w:val="left"/>
            </w:pPr>
            <w:r>
              <w:rPr>
                <w:rFonts w:ascii="仿宋_GB2312" w:hAnsi="仿宋_GB2312" w:cs="仿宋_GB2312" w:eastAsia="仿宋_GB2312"/>
              </w:rPr>
              <w:t>红外分光光度计（核心产品）</w:t>
            </w:r>
          </w:p>
        </w:tc>
        <w:tc>
          <w:tcPr>
            <w:tcW w:type="dxa" w:w="2076"/>
          </w:tcPr>
          <w:p>
            <w:pPr>
              <w:pStyle w:val="null5"/>
              <w:jc w:val="left"/>
            </w:pPr>
            <w:r>
              <w:rPr>
                <w:rFonts w:ascii="仿宋_GB2312" w:hAnsi="仿宋_GB2312" w:cs="仿宋_GB2312" w:eastAsia="仿宋_GB2312"/>
              </w:rPr>
              <w:t>11.杂散光：≤0.1%T</w:t>
            </w:r>
          </w:p>
        </w:tc>
      </w:tr>
      <w:tr>
        <w:tc>
          <w:tcPr>
            <w:tcW w:type="dxa" w:w="2076"/>
          </w:tcPr>
          <w:p>
            <w:pPr>
              <w:pStyle w:val="null5"/>
              <w:jc w:val="left"/>
            </w:pPr>
            <w:r>
              <w:rPr>
                <w:rFonts w:ascii="仿宋_GB2312" w:hAnsi="仿宋_GB2312" w:cs="仿宋_GB2312" w:eastAsia="仿宋_GB2312"/>
              </w:rPr>
              <w:t>27</w:t>
            </w:r>
          </w:p>
        </w:tc>
        <w:tc>
          <w:tcPr>
            <w:tcW w:type="dxa" w:w="2076"/>
          </w:tcPr>
          <w:p/>
        </w:tc>
        <w:tc>
          <w:tcPr>
            <w:tcW w:type="dxa" w:w="2076"/>
          </w:tcPr>
          <w:p>
            <w:pPr>
              <w:pStyle w:val="null5"/>
              <w:jc w:val="left"/>
            </w:pPr>
            <w:r>
              <w:rPr>
                <w:rFonts w:ascii="仿宋_GB2312" w:hAnsi="仿宋_GB2312" w:cs="仿宋_GB2312" w:eastAsia="仿宋_GB2312"/>
              </w:rPr>
              <w:t>红外分光光度计（核心产品）</w:t>
            </w:r>
          </w:p>
        </w:tc>
        <w:tc>
          <w:tcPr>
            <w:tcW w:type="dxa" w:w="2076"/>
          </w:tcPr>
          <w:p>
            <w:pPr>
              <w:pStyle w:val="null5"/>
              <w:jc w:val="left"/>
            </w:pPr>
            <w:r>
              <w:rPr>
                <w:rFonts w:ascii="仿宋_GB2312" w:hAnsi="仿宋_GB2312" w:cs="仿宋_GB2312" w:eastAsia="仿宋_GB2312"/>
              </w:rPr>
              <w:t>12.暗噪声：≤0.05%T</w:t>
            </w:r>
          </w:p>
        </w:tc>
      </w:tr>
      <w:tr>
        <w:tc>
          <w:tcPr>
            <w:tcW w:type="dxa" w:w="2076"/>
          </w:tcPr>
          <w:p>
            <w:pPr>
              <w:pStyle w:val="null5"/>
              <w:jc w:val="left"/>
            </w:pPr>
            <w:r>
              <w:rPr>
                <w:rFonts w:ascii="仿宋_GB2312" w:hAnsi="仿宋_GB2312" w:cs="仿宋_GB2312" w:eastAsia="仿宋_GB2312"/>
              </w:rPr>
              <w:t>28</w:t>
            </w:r>
          </w:p>
        </w:tc>
        <w:tc>
          <w:tcPr>
            <w:tcW w:type="dxa" w:w="2076"/>
          </w:tcPr>
          <w:p/>
        </w:tc>
        <w:tc>
          <w:tcPr>
            <w:tcW w:type="dxa" w:w="2076"/>
          </w:tcPr>
          <w:p>
            <w:pPr>
              <w:pStyle w:val="null5"/>
              <w:jc w:val="left"/>
            </w:pPr>
            <w:r>
              <w:rPr>
                <w:rFonts w:ascii="仿宋_GB2312" w:hAnsi="仿宋_GB2312" w:cs="仿宋_GB2312" w:eastAsia="仿宋_GB2312"/>
              </w:rPr>
              <w:t>红外分光光度计（核心产品）</w:t>
            </w:r>
          </w:p>
        </w:tc>
        <w:tc>
          <w:tcPr>
            <w:tcW w:type="dxa" w:w="2076"/>
          </w:tcPr>
          <w:p>
            <w:pPr>
              <w:pStyle w:val="null5"/>
              <w:jc w:val="left"/>
            </w:pPr>
            <w:r>
              <w:rPr>
                <w:rFonts w:ascii="仿宋_GB2312" w:hAnsi="仿宋_GB2312" w:cs="仿宋_GB2312" w:eastAsia="仿宋_GB2312"/>
              </w:rPr>
              <w:t>13.能量光谱1小时稳定性：≤1%</w:t>
            </w:r>
          </w:p>
        </w:tc>
      </w:tr>
      <w:tr>
        <w:tc>
          <w:tcPr>
            <w:tcW w:type="dxa" w:w="2076"/>
          </w:tcPr>
          <w:p>
            <w:pPr>
              <w:pStyle w:val="null5"/>
              <w:jc w:val="left"/>
            </w:pPr>
            <w:r>
              <w:rPr>
                <w:rFonts w:ascii="仿宋_GB2312" w:hAnsi="仿宋_GB2312" w:cs="仿宋_GB2312" w:eastAsia="仿宋_GB2312"/>
              </w:rPr>
              <w:t>29</w:t>
            </w:r>
          </w:p>
        </w:tc>
        <w:tc>
          <w:tcPr>
            <w:tcW w:type="dxa" w:w="2076"/>
          </w:tcPr>
          <w:p/>
        </w:tc>
        <w:tc>
          <w:tcPr>
            <w:tcW w:type="dxa" w:w="2076"/>
          </w:tcPr>
          <w:p>
            <w:pPr>
              <w:pStyle w:val="null5"/>
              <w:jc w:val="left"/>
            </w:pPr>
            <w:r>
              <w:rPr>
                <w:rFonts w:ascii="仿宋_GB2312" w:hAnsi="仿宋_GB2312" w:cs="仿宋_GB2312" w:eastAsia="仿宋_GB2312"/>
              </w:rPr>
              <w:t>红外分光光度计（核心产品）</w:t>
            </w:r>
          </w:p>
        </w:tc>
        <w:tc>
          <w:tcPr>
            <w:tcW w:type="dxa" w:w="2076"/>
          </w:tcPr>
          <w:p>
            <w:pPr>
              <w:pStyle w:val="null5"/>
              <w:jc w:val="left"/>
            </w:pPr>
            <w:r>
              <w:rPr>
                <w:rFonts w:ascii="仿宋_GB2312" w:hAnsi="仿宋_GB2312" w:cs="仿宋_GB2312" w:eastAsia="仿宋_GB2312"/>
              </w:rPr>
              <w:t>14.基线1小时稳定性：≤2%T</w:t>
            </w:r>
          </w:p>
        </w:tc>
      </w:tr>
      <w:tr>
        <w:tc>
          <w:tcPr>
            <w:tcW w:type="dxa" w:w="2076"/>
          </w:tcPr>
          <w:p>
            <w:pPr>
              <w:pStyle w:val="null5"/>
              <w:jc w:val="left"/>
            </w:pPr>
            <w:r>
              <w:rPr>
                <w:rFonts w:ascii="仿宋_GB2312" w:hAnsi="仿宋_GB2312" w:cs="仿宋_GB2312" w:eastAsia="仿宋_GB2312"/>
              </w:rPr>
              <w:t>30</w:t>
            </w:r>
          </w:p>
        </w:tc>
        <w:tc>
          <w:tcPr>
            <w:tcW w:type="dxa" w:w="2076"/>
          </w:tcPr>
          <w:p/>
        </w:tc>
        <w:tc>
          <w:tcPr>
            <w:tcW w:type="dxa" w:w="2076"/>
          </w:tcPr>
          <w:p>
            <w:pPr>
              <w:pStyle w:val="null5"/>
              <w:jc w:val="left"/>
            </w:pPr>
            <w:r>
              <w:rPr>
                <w:rFonts w:ascii="仿宋_GB2312" w:hAnsi="仿宋_GB2312" w:cs="仿宋_GB2312" w:eastAsia="仿宋_GB2312"/>
              </w:rPr>
              <w:t>红外分光光度计（核心产品）</w:t>
            </w:r>
          </w:p>
        </w:tc>
        <w:tc>
          <w:tcPr>
            <w:tcW w:type="dxa" w:w="2076"/>
          </w:tcPr>
          <w:p>
            <w:pPr>
              <w:pStyle w:val="null5"/>
              <w:jc w:val="left"/>
            </w:pPr>
            <w:r>
              <w:rPr>
                <w:rFonts w:ascii="仿宋_GB2312" w:hAnsi="仿宋_GB2312" w:cs="仿宋_GB2312" w:eastAsia="仿宋_GB2312"/>
              </w:rPr>
              <w:t>15.线性度日间稳定性：≤1%</w:t>
            </w:r>
          </w:p>
        </w:tc>
      </w:tr>
      <w:tr>
        <w:tc>
          <w:tcPr>
            <w:tcW w:type="dxa" w:w="2076"/>
          </w:tcPr>
          <w:p>
            <w:pPr>
              <w:pStyle w:val="null5"/>
              <w:jc w:val="left"/>
            </w:pPr>
            <w:r>
              <w:rPr>
                <w:rFonts w:ascii="仿宋_GB2312" w:hAnsi="仿宋_GB2312" w:cs="仿宋_GB2312" w:eastAsia="仿宋_GB2312"/>
              </w:rPr>
              <w:t>31</w:t>
            </w:r>
          </w:p>
        </w:tc>
        <w:tc>
          <w:tcPr>
            <w:tcW w:type="dxa" w:w="2076"/>
          </w:tcPr>
          <w:p/>
        </w:tc>
        <w:tc>
          <w:tcPr>
            <w:tcW w:type="dxa" w:w="2076"/>
          </w:tcPr>
          <w:p>
            <w:pPr>
              <w:pStyle w:val="null5"/>
              <w:jc w:val="left"/>
            </w:pPr>
            <w:r>
              <w:rPr>
                <w:rFonts w:ascii="仿宋_GB2312" w:hAnsi="仿宋_GB2312" w:cs="仿宋_GB2312" w:eastAsia="仿宋_GB2312"/>
              </w:rPr>
              <w:t>红外分光光度计（核心产品）</w:t>
            </w:r>
          </w:p>
        </w:tc>
        <w:tc>
          <w:tcPr>
            <w:tcW w:type="dxa" w:w="2076"/>
          </w:tcPr>
          <w:p>
            <w:pPr>
              <w:pStyle w:val="null5"/>
              <w:jc w:val="left"/>
            </w:pPr>
            <w:r>
              <w:rPr>
                <w:rFonts w:ascii="仿宋_GB2312" w:hAnsi="仿宋_GB2312" w:cs="仿宋_GB2312" w:eastAsia="仿宋_GB2312"/>
              </w:rPr>
              <w:t>16.线性导轨动镜驱动机构，可实现高精度的直线往复运动。</w:t>
            </w:r>
          </w:p>
        </w:tc>
      </w:tr>
      <w:tr>
        <w:tc>
          <w:tcPr>
            <w:tcW w:type="dxa" w:w="2076"/>
          </w:tcPr>
          <w:p>
            <w:pPr>
              <w:pStyle w:val="null5"/>
              <w:jc w:val="left"/>
            </w:pPr>
            <w:r>
              <w:rPr>
                <w:rFonts w:ascii="仿宋_GB2312" w:hAnsi="仿宋_GB2312" w:cs="仿宋_GB2312" w:eastAsia="仿宋_GB2312"/>
              </w:rPr>
              <w:t>32</w:t>
            </w:r>
          </w:p>
        </w:tc>
        <w:tc>
          <w:tcPr>
            <w:tcW w:type="dxa" w:w="2076"/>
          </w:tcPr>
          <w:p/>
        </w:tc>
        <w:tc>
          <w:tcPr>
            <w:tcW w:type="dxa" w:w="2076"/>
          </w:tcPr>
          <w:p>
            <w:pPr>
              <w:pStyle w:val="null5"/>
              <w:jc w:val="left"/>
            </w:pPr>
            <w:r>
              <w:rPr>
                <w:rFonts w:ascii="仿宋_GB2312" w:hAnsi="仿宋_GB2312" w:cs="仿宋_GB2312" w:eastAsia="仿宋_GB2312"/>
              </w:rPr>
              <w:t>红外分光光度计（核心产品）</w:t>
            </w:r>
          </w:p>
        </w:tc>
        <w:tc>
          <w:tcPr>
            <w:tcW w:type="dxa" w:w="2076"/>
          </w:tcPr>
          <w:p>
            <w:pPr>
              <w:pStyle w:val="null5"/>
              <w:jc w:val="left"/>
            </w:pPr>
            <w:r>
              <w:rPr>
                <w:rFonts w:ascii="仿宋_GB2312" w:hAnsi="仿宋_GB2312" w:cs="仿宋_GB2312" w:eastAsia="仿宋_GB2312"/>
              </w:rPr>
              <w:t>17.分束器：多层镀Ge防潮型KBr分束器，分束器通光直径不小于40mm ，双面CaF2防潮镀层。</w:t>
            </w:r>
          </w:p>
        </w:tc>
      </w:tr>
      <w:tr>
        <w:tc>
          <w:tcPr>
            <w:tcW w:type="dxa" w:w="2076"/>
          </w:tcPr>
          <w:p>
            <w:pPr>
              <w:pStyle w:val="null5"/>
              <w:jc w:val="left"/>
            </w:pPr>
            <w:r>
              <w:rPr>
                <w:rFonts w:ascii="仿宋_GB2312" w:hAnsi="仿宋_GB2312" w:cs="仿宋_GB2312" w:eastAsia="仿宋_GB2312"/>
              </w:rPr>
              <w:t>33</w:t>
            </w:r>
          </w:p>
        </w:tc>
        <w:tc>
          <w:tcPr>
            <w:tcW w:type="dxa" w:w="2076"/>
          </w:tcPr>
          <w:p/>
        </w:tc>
        <w:tc>
          <w:tcPr>
            <w:tcW w:type="dxa" w:w="2076"/>
          </w:tcPr>
          <w:p>
            <w:pPr>
              <w:pStyle w:val="null5"/>
              <w:jc w:val="left"/>
            </w:pPr>
            <w:r>
              <w:rPr>
                <w:rFonts w:ascii="仿宋_GB2312" w:hAnsi="仿宋_GB2312" w:cs="仿宋_GB2312" w:eastAsia="仿宋_GB2312"/>
              </w:rPr>
              <w:t>红外分光光度计（核心产品）</w:t>
            </w:r>
          </w:p>
        </w:tc>
        <w:tc>
          <w:tcPr>
            <w:tcW w:type="dxa" w:w="2076"/>
          </w:tcPr>
          <w:p>
            <w:pPr>
              <w:pStyle w:val="null5"/>
              <w:jc w:val="left"/>
            </w:pPr>
            <w:r>
              <w:rPr>
                <w:rFonts w:ascii="仿宋_GB2312" w:hAnsi="仿宋_GB2312" w:cs="仿宋_GB2312" w:eastAsia="仿宋_GB2312"/>
              </w:rPr>
              <w:t>18.检测器封装采用永久防潮的KRS-5光学窗片，确保不会因受潮导致检测器损坏。</w:t>
            </w:r>
          </w:p>
        </w:tc>
      </w:tr>
      <w:tr>
        <w:tc>
          <w:tcPr>
            <w:tcW w:type="dxa" w:w="2076"/>
          </w:tcPr>
          <w:p>
            <w:pPr>
              <w:pStyle w:val="null5"/>
              <w:jc w:val="left"/>
            </w:pPr>
            <w:r>
              <w:rPr>
                <w:rFonts w:ascii="仿宋_GB2312" w:hAnsi="仿宋_GB2312" w:cs="仿宋_GB2312" w:eastAsia="仿宋_GB2312"/>
              </w:rPr>
              <w:t>34</w:t>
            </w:r>
          </w:p>
        </w:tc>
        <w:tc>
          <w:tcPr>
            <w:tcW w:type="dxa" w:w="2076"/>
          </w:tcPr>
          <w:p/>
        </w:tc>
        <w:tc>
          <w:tcPr>
            <w:tcW w:type="dxa" w:w="2076"/>
          </w:tcPr>
          <w:p>
            <w:pPr>
              <w:pStyle w:val="null5"/>
              <w:jc w:val="left"/>
            </w:pPr>
            <w:r>
              <w:rPr>
                <w:rFonts w:ascii="仿宋_GB2312" w:hAnsi="仿宋_GB2312" w:cs="仿宋_GB2312" w:eastAsia="仿宋_GB2312"/>
              </w:rPr>
              <w:t>红外分光光度计（核心产品）</w:t>
            </w:r>
          </w:p>
        </w:tc>
        <w:tc>
          <w:tcPr>
            <w:tcW w:type="dxa" w:w="2076"/>
          </w:tcPr>
          <w:p>
            <w:pPr>
              <w:pStyle w:val="null5"/>
              <w:jc w:val="left"/>
            </w:pPr>
            <w:r>
              <w:rPr>
                <w:rFonts w:ascii="仿宋_GB2312" w:hAnsi="仿宋_GB2312" w:cs="仿宋_GB2312" w:eastAsia="仿宋_GB2312"/>
              </w:rPr>
              <w:t>19.样品室光学窗片采用新型的特氟龙镀层KBr光学窗片，既保证长期可靠的防潮性能，也同时保证相对高的光通量。</w:t>
            </w:r>
          </w:p>
        </w:tc>
      </w:tr>
      <w:tr>
        <w:tc>
          <w:tcPr>
            <w:tcW w:type="dxa" w:w="2076"/>
          </w:tcPr>
          <w:p>
            <w:pPr>
              <w:pStyle w:val="null5"/>
              <w:jc w:val="left"/>
            </w:pPr>
            <w:r>
              <w:rPr>
                <w:rFonts w:ascii="仿宋_GB2312" w:hAnsi="仿宋_GB2312" w:cs="仿宋_GB2312" w:eastAsia="仿宋_GB2312"/>
              </w:rPr>
              <w:t>35</w:t>
            </w:r>
          </w:p>
        </w:tc>
        <w:tc>
          <w:tcPr>
            <w:tcW w:type="dxa" w:w="2076"/>
          </w:tcPr>
          <w:p/>
        </w:tc>
        <w:tc>
          <w:tcPr>
            <w:tcW w:type="dxa" w:w="2076"/>
          </w:tcPr>
          <w:p>
            <w:pPr>
              <w:pStyle w:val="null5"/>
              <w:jc w:val="left"/>
            </w:pPr>
            <w:r>
              <w:rPr>
                <w:rFonts w:ascii="仿宋_GB2312" w:hAnsi="仿宋_GB2312" w:cs="仿宋_GB2312" w:eastAsia="仿宋_GB2312"/>
              </w:rPr>
              <w:t>红外分光光度计（核心产品）</w:t>
            </w:r>
          </w:p>
        </w:tc>
        <w:tc>
          <w:tcPr>
            <w:tcW w:type="dxa" w:w="2076"/>
          </w:tcPr>
          <w:p>
            <w:pPr>
              <w:pStyle w:val="null5"/>
              <w:jc w:val="left"/>
            </w:pPr>
            <w:r>
              <w:rPr>
                <w:rFonts w:ascii="仿宋_GB2312" w:hAnsi="仿宋_GB2312" w:cs="仿宋_GB2312" w:eastAsia="仿宋_GB2312"/>
              </w:rPr>
              <w:t>20.样品室光学窗片可由用户自行更换。</w:t>
            </w:r>
          </w:p>
        </w:tc>
      </w:tr>
      <w:tr>
        <w:tc>
          <w:tcPr>
            <w:tcW w:type="dxa" w:w="2076"/>
          </w:tcPr>
          <w:p>
            <w:pPr>
              <w:pStyle w:val="null5"/>
              <w:jc w:val="left"/>
            </w:pPr>
            <w:r>
              <w:rPr>
                <w:rFonts w:ascii="仿宋_GB2312" w:hAnsi="仿宋_GB2312" w:cs="仿宋_GB2312" w:eastAsia="仿宋_GB2312"/>
              </w:rPr>
              <w:t>36</w:t>
            </w:r>
          </w:p>
        </w:tc>
        <w:tc>
          <w:tcPr>
            <w:tcW w:type="dxa" w:w="2076"/>
          </w:tcPr>
          <w:p/>
        </w:tc>
        <w:tc>
          <w:tcPr>
            <w:tcW w:type="dxa" w:w="2076"/>
          </w:tcPr>
          <w:p>
            <w:pPr>
              <w:pStyle w:val="null5"/>
              <w:jc w:val="left"/>
            </w:pPr>
            <w:r>
              <w:rPr>
                <w:rFonts w:ascii="仿宋_GB2312" w:hAnsi="仿宋_GB2312" w:cs="仿宋_GB2312" w:eastAsia="仿宋_GB2312"/>
              </w:rPr>
              <w:t>红外分光光度计（核心产品）</w:t>
            </w:r>
          </w:p>
        </w:tc>
        <w:tc>
          <w:tcPr>
            <w:tcW w:type="dxa" w:w="2076"/>
          </w:tcPr>
          <w:p>
            <w:pPr>
              <w:pStyle w:val="null5"/>
              <w:jc w:val="left"/>
            </w:pPr>
            <w:r>
              <w:rPr>
                <w:rFonts w:ascii="仿宋_GB2312" w:hAnsi="仿宋_GB2312" w:cs="仿宋_GB2312" w:eastAsia="仿宋_GB2312"/>
              </w:rPr>
              <w:t>21.仪器有外在明显的湿度电子指示灯和纸基湿度指示剂，并在软件中有湿度实时监控。</w:t>
            </w:r>
          </w:p>
        </w:tc>
      </w:tr>
      <w:tr>
        <w:tc>
          <w:tcPr>
            <w:tcW w:type="dxa" w:w="2076"/>
          </w:tcPr>
          <w:p>
            <w:pPr>
              <w:pStyle w:val="null5"/>
              <w:jc w:val="left"/>
            </w:pPr>
            <w:r>
              <w:rPr>
                <w:rFonts w:ascii="仿宋_GB2312" w:hAnsi="仿宋_GB2312" w:cs="仿宋_GB2312" w:eastAsia="仿宋_GB2312"/>
              </w:rPr>
              <w:t>37</w:t>
            </w:r>
          </w:p>
        </w:tc>
        <w:tc>
          <w:tcPr>
            <w:tcW w:type="dxa" w:w="2076"/>
          </w:tcPr>
          <w:p/>
        </w:tc>
        <w:tc>
          <w:tcPr>
            <w:tcW w:type="dxa" w:w="2076"/>
          </w:tcPr>
          <w:p>
            <w:pPr>
              <w:pStyle w:val="null5"/>
              <w:jc w:val="left"/>
            </w:pPr>
            <w:r>
              <w:rPr>
                <w:rFonts w:ascii="仿宋_GB2312" w:hAnsi="仿宋_GB2312" w:cs="仿宋_GB2312" w:eastAsia="仿宋_GB2312"/>
              </w:rPr>
              <w:t>红外分光光度计（核心产品）</w:t>
            </w:r>
          </w:p>
        </w:tc>
        <w:tc>
          <w:tcPr>
            <w:tcW w:type="dxa" w:w="2076"/>
          </w:tcPr>
          <w:p>
            <w:pPr>
              <w:pStyle w:val="null5"/>
              <w:jc w:val="left"/>
            </w:pPr>
            <w:r>
              <w:rPr>
                <w:rFonts w:ascii="仿宋_GB2312" w:hAnsi="仿宋_GB2312" w:cs="仿宋_GB2312" w:eastAsia="仿宋_GB2312"/>
              </w:rPr>
              <w:t>22.软件功能模块：包括光谱扫描、光度测定、定量（单组份/多组分同时定量）、再解析、简单宏程序等模块。</w:t>
            </w:r>
          </w:p>
        </w:tc>
      </w:tr>
      <w:tr>
        <w:tc>
          <w:tcPr>
            <w:tcW w:type="dxa" w:w="2076"/>
          </w:tcPr>
          <w:p>
            <w:pPr>
              <w:pStyle w:val="null5"/>
              <w:jc w:val="left"/>
            </w:pPr>
            <w:r>
              <w:rPr>
                <w:rFonts w:ascii="仿宋_GB2312" w:hAnsi="仿宋_GB2312" w:cs="仿宋_GB2312" w:eastAsia="仿宋_GB2312"/>
              </w:rPr>
              <w:t>38</w:t>
            </w:r>
          </w:p>
        </w:tc>
        <w:tc>
          <w:tcPr>
            <w:tcW w:type="dxa" w:w="2076"/>
          </w:tcPr>
          <w:p/>
        </w:tc>
        <w:tc>
          <w:tcPr>
            <w:tcW w:type="dxa" w:w="2076"/>
          </w:tcPr>
          <w:p>
            <w:pPr>
              <w:pStyle w:val="null5"/>
              <w:jc w:val="left"/>
            </w:pPr>
            <w:r>
              <w:rPr>
                <w:rFonts w:ascii="仿宋_GB2312" w:hAnsi="仿宋_GB2312" w:cs="仿宋_GB2312" w:eastAsia="仿宋_GB2312"/>
              </w:rPr>
              <w:t>红外分光光度计（核心产品）</w:t>
            </w:r>
          </w:p>
        </w:tc>
        <w:tc>
          <w:tcPr>
            <w:tcW w:type="dxa" w:w="2076"/>
          </w:tcPr>
          <w:p>
            <w:pPr>
              <w:pStyle w:val="null5"/>
              <w:jc w:val="left"/>
            </w:pPr>
            <w:r>
              <w:rPr>
                <w:rFonts w:ascii="仿宋_GB2312" w:hAnsi="仿宋_GB2312" w:cs="仿宋_GB2312" w:eastAsia="仿宋_GB2312"/>
              </w:rPr>
              <w:t>23.数据处理功能：包括四则数学运算、归一化、基线校正、平滑、导数、截断、连接、插值、波数-波长转换、 X 轴校正、时间-温度转换、峰检测、膜厚/池厚计算、数据集运算、纯度计算、解卷积、傅立叶变换、K-M 变换、 K-K 变换、高级 ATR 校正、大气校正。</w:t>
            </w:r>
          </w:p>
        </w:tc>
      </w:tr>
      <w:tr>
        <w:tc>
          <w:tcPr>
            <w:tcW w:type="dxa" w:w="2076"/>
          </w:tcPr>
          <w:p>
            <w:pPr>
              <w:pStyle w:val="null5"/>
              <w:jc w:val="left"/>
            </w:pPr>
            <w:r>
              <w:rPr>
                <w:rFonts w:ascii="仿宋_GB2312" w:hAnsi="仿宋_GB2312" w:cs="仿宋_GB2312" w:eastAsia="仿宋_GB2312"/>
              </w:rPr>
              <w:t>39</w:t>
            </w:r>
          </w:p>
        </w:tc>
        <w:tc>
          <w:tcPr>
            <w:tcW w:type="dxa" w:w="2076"/>
          </w:tcPr>
          <w:p/>
        </w:tc>
        <w:tc>
          <w:tcPr>
            <w:tcW w:type="dxa" w:w="2076"/>
          </w:tcPr>
          <w:p>
            <w:pPr>
              <w:pStyle w:val="null5"/>
              <w:jc w:val="left"/>
            </w:pPr>
            <w:r>
              <w:rPr>
                <w:rFonts w:ascii="仿宋_GB2312" w:hAnsi="仿宋_GB2312" w:cs="仿宋_GB2312" w:eastAsia="仿宋_GB2312"/>
              </w:rPr>
              <w:t>红外分光光度计（核心产品）</w:t>
            </w:r>
          </w:p>
        </w:tc>
        <w:tc>
          <w:tcPr>
            <w:tcW w:type="dxa" w:w="2076"/>
          </w:tcPr>
          <w:p>
            <w:pPr>
              <w:pStyle w:val="null5"/>
              <w:jc w:val="left"/>
            </w:pPr>
            <w:r>
              <w:rPr>
                <w:rFonts w:ascii="仿宋_GB2312" w:hAnsi="仿宋_GB2312" w:cs="仿宋_GB2312" w:eastAsia="仿宋_GB2312"/>
              </w:rPr>
              <w:t>24.智能光谱顾问功能：能够以交互方式确认光谱数据质量，并提示可能的改进措施，以便得到更高质量的光谱数据。</w:t>
            </w:r>
          </w:p>
        </w:tc>
      </w:tr>
      <w:tr>
        <w:tc>
          <w:tcPr>
            <w:tcW w:type="dxa" w:w="2076"/>
          </w:tcPr>
          <w:p>
            <w:pPr>
              <w:pStyle w:val="null5"/>
              <w:jc w:val="left"/>
            </w:pPr>
            <w:r>
              <w:rPr>
                <w:rFonts w:ascii="仿宋_GB2312" w:hAnsi="仿宋_GB2312" w:cs="仿宋_GB2312" w:eastAsia="仿宋_GB2312"/>
              </w:rPr>
              <w:t>40</w:t>
            </w:r>
          </w:p>
        </w:tc>
        <w:tc>
          <w:tcPr>
            <w:tcW w:type="dxa" w:w="2076"/>
          </w:tcPr>
          <w:p/>
        </w:tc>
        <w:tc>
          <w:tcPr>
            <w:tcW w:type="dxa" w:w="2076"/>
          </w:tcPr>
          <w:p>
            <w:pPr>
              <w:pStyle w:val="null5"/>
              <w:jc w:val="left"/>
            </w:pPr>
            <w:r>
              <w:rPr>
                <w:rFonts w:ascii="仿宋_GB2312" w:hAnsi="仿宋_GB2312" w:cs="仿宋_GB2312" w:eastAsia="仿宋_GB2312"/>
              </w:rPr>
              <w:t>红外分光光度计（核心产品）</w:t>
            </w:r>
          </w:p>
        </w:tc>
        <w:tc>
          <w:tcPr>
            <w:tcW w:type="dxa" w:w="2076"/>
          </w:tcPr>
          <w:p>
            <w:pPr>
              <w:pStyle w:val="null5"/>
              <w:jc w:val="left"/>
            </w:pPr>
            <w:r>
              <w:rPr>
                <w:rFonts w:ascii="仿宋_GB2312" w:hAnsi="仿宋_GB2312" w:cs="仿宋_GB2312" w:eastAsia="仿宋_GB2312"/>
              </w:rPr>
              <w:t>25.大气校正功能：可以在扫描完成后自动执行大气校正，以消除水汽和二氧化碳的干扰；可以对已存在的光谱数据进行大气校正的后处理。</w:t>
            </w:r>
          </w:p>
        </w:tc>
      </w:tr>
      <w:tr>
        <w:tc>
          <w:tcPr>
            <w:tcW w:type="dxa" w:w="2076"/>
          </w:tcPr>
          <w:p>
            <w:pPr>
              <w:pStyle w:val="null5"/>
              <w:jc w:val="left"/>
            </w:pPr>
            <w:r>
              <w:rPr>
                <w:rFonts w:ascii="仿宋_GB2312" w:hAnsi="仿宋_GB2312" w:cs="仿宋_GB2312" w:eastAsia="仿宋_GB2312"/>
              </w:rPr>
              <w:t>41</w:t>
            </w:r>
          </w:p>
        </w:tc>
        <w:tc>
          <w:tcPr>
            <w:tcW w:type="dxa" w:w="2076"/>
          </w:tcPr>
          <w:p/>
        </w:tc>
        <w:tc>
          <w:tcPr>
            <w:tcW w:type="dxa" w:w="2076"/>
          </w:tcPr>
          <w:p>
            <w:pPr>
              <w:pStyle w:val="null5"/>
              <w:jc w:val="left"/>
            </w:pPr>
            <w:r>
              <w:rPr>
                <w:rFonts w:ascii="仿宋_GB2312" w:hAnsi="仿宋_GB2312" w:cs="仿宋_GB2312" w:eastAsia="仿宋_GB2312"/>
              </w:rPr>
              <w:t>红外分光光度计（核心产品）</w:t>
            </w:r>
          </w:p>
        </w:tc>
        <w:tc>
          <w:tcPr>
            <w:tcW w:type="dxa" w:w="2076"/>
          </w:tcPr>
          <w:p>
            <w:pPr>
              <w:pStyle w:val="null5"/>
              <w:jc w:val="left"/>
            </w:pPr>
            <w:r>
              <w:rPr>
                <w:rFonts w:ascii="仿宋_GB2312" w:hAnsi="仿宋_GB2312" w:cs="仿宋_GB2312" w:eastAsia="仿宋_GB2312"/>
                <w:sz w:val="24"/>
              </w:rPr>
              <w:t>26.光源：高强度中远红外SiN陶瓷光源，空气冷却。</w:t>
            </w:r>
          </w:p>
        </w:tc>
      </w:tr>
      <w:tr>
        <w:tc>
          <w:tcPr>
            <w:tcW w:type="dxa" w:w="2076"/>
          </w:tcPr>
          <w:p>
            <w:pPr>
              <w:pStyle w:val="null5"/>
              <w:jc w:val="left"/>
            </w:pPr>
            <w:r>
              <w:rPr>
                <w:rFonts w:ascii="仿宋_GB2312" w:hAnsi="仿宋_GB2312" w:cs="仿宋_GB2312" w:eastAsia="仿宋_GB2312"/>
              </w:rPr>
              <w:t>42</w:t>
            </w:r>
          </w:p>
        </w:tc>
        <w:tc>
          <w:tcPr>
            <w:tcW w:type="dxa" w:w="2076"/>
          </w:tcPr>
          <w:p/>
        </w:tc>
        <w:tc>
          <w:tcPr>
            <w:tcW w:type="dxa" w:w="2076"/>
          </w:tcPr>
          <w:p>
            <w:pPr>
              <w:pStyle w:val="null5"/>
              <w:jc w:val="left"/>
            </w:pPr>
            <w:r>
              <w:rPr>
                <w:rFonts w:ascii="仿宋_GB2312" w:hAnsi="仿宋_GB2312" w:cs="仿宋_GB2312" w:eastAsia="仿宋_GB2312"/>
              </w:rPr>
              <w:t>红外分光光度计（核心产品）</w:t>
            </w:r>
          </w:p>
        </w:tc>
        <w:tc>
          <w:tcPr>
            <w:tcW w:type="dxa" w:w="2076"/>
          </w:tcPr>
          <w:p>
            <w:pPr>
              <w:pStyle w:val="null5"/>
              <w:jc w:val="left"/>
            </w:pPr>
            <w:r>
              <w:rPr>
                <w:rFonts w:ascii="仿宋_GB2312" w:hAnsi="仿宋_GB2312" w:cs="仿宋_GB2312" w:eastAsia="仿宋_GB2312"/>
                <w:sz w:val="24"/>
              </w:rPr>
              <w:t>27.30°角入射迈克尔逊干涉仪，能量利用率高。</w:t>
            </w:r>
          </w:p>
        </w:tc>
      </w:tr>
      <w:tr>
        <w:tc>
          <w:tcPr>
            <w:tcW w:type="dxa" w:w="2076"/>
          </w:tcPr>
          <w:p>
            <w:pPr>
              <w:pStyle w:val="null5"/>
              <w:jc w:val="left"/>
            </w:pPr>
            <w:r>
              <w:rPr>
                <w:rFonts w:ascii="仿宋_GB2312" w:hAnsi="仿宋_GB2312" w:cs="仿宋_GB2312" w:eastAsia="仿宋_GB2312"/>
              </w:rPr>
              <w:t>43</w:t>
            </w:r>
          </w:p>
        </w:tc>
        <w:tc>
          <w:tcPr>
            <w:tcW w:type="dxa" w:w="2076"/>
          </w:tcPr>
          <w:p/>
        </w:tc>
        <w:tc>
          <w:tcPr>
            <w:tcW w:type="dxa" w:w="2076"/>
          </w:tcPr>
          <w:p>
            <w:pPr>
              <w:pStyle w:val="null5"/>
              <w:jc w:val="left"/>
            </w:pPr>
            <w:r>
              <w:rPr>
                <w:rFonts w:ascii="仿宋_GB2312" w:hAnsi="仿宋_GB2312" w:cs="仿宋_GB2312" w:eastAsia="仿宋_GB2312"/>
              </w:rPr>
              <w:t>红外分光光度计（核心产品）</w:t>
            </w:r>
          </w:p>
        </w:tc>
        <w:tc>
          <w:tcPr>
            <w:tcW w:type="dxa" w:w="2076"/>
          </w:tcPr>
          <w:p>
            <w:pPr>
              <w:pStyle w:val="null5"/>
              <w:jc w:val="left"/>
            </w:pPr>
            <w:r>
              <w:rPr>
                <w:rFonts w:ascii="仿宋_GB2312" w:hAnsi="仿宋_GB2312" w:cs="仿宋_GB2312" w:eastAsia="仿宋_GB2312"/>
                <w:sz w:val="24"/>
              </w:rPr>
              <w:t>28.动态准直功能，可以在开机自检和实际光谱扫描过程中实现自动准直和实时准直。</w:t>
            </w:r>
          </w:p>
        </w:tc>
      </w:tr>
      <w:tr>
        <w:tc>
          <w:tcPr>
            <w:tcW w:type="dxa" w:w="2076"/>
          </w:tcPr>
          <w:p>
            <w:pPr>
              <w:pStyle w:val="null5"/>
              <w:jc w:val="left"/>
            </w:pPr>
            <w:r>
              <w:rPr>
                <w:rFonts w:ascii="仿宋_GB2312" w:hAnsi="仿宋_GB2312" w:cs="仿宋_GB2312" w:eastAsia="仿宋_GB2312"/>
              </w:rPr>
              <w:t>44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红外分光光度计（核心产品）</w:t>
            </w:r>
          </w:p>
        </w:tc>
        <w:tc>
          <w:tcPr>
            <w:tcW w:type="dxa" w:w="2076"/>
          </w:tcPr>
          <w:p>
            <w:pPr>
              <w:pStyle w:val="null5"/>
              <w:jc w:val="left"/>
            </w:pPr>
            <w:r>
              <w:rPr>
                <w:rFonts w:ascii="仿宋_GB2312" w:hAnsi="仿宋_GB2312" w:cs="仿宋_GB2312" w:eastAsia="仿宋_GB2312"/>
              </w:rPr>
              <w:t>29.激光器：温控型半导体激光器，受温度影响小，寿命长。</w:t>
            </w:r>
          </w:p>
        </w:tc>
      </w:tr>
      <w:tr>
        <w:tc>
          <w:tcPr>
            <w:tcW w:type="dxa" w:w="2076"/>
          </w:tcPr>
          <w:p>
            <w:pPr>
              <w:pStyle w:val="null5"/>
              <w:jc w:val="left"/>
            </w:pPr>
            <w:r>
              <w:rPr>
                <w:rFonts w:ascii="仿宋_GB2312" w:hAnsi="仿宋_GB2312" w:cs="仿宋_GB2312" w:eastAsia="仿宋_GB2312"/>
              </w:rPr>
              <w:t>45</w:t>
            </w:r>
          </w:p>
        </w:tc>
        <w:tc>
          <w:tcPr>
            <w:tcW w:type="dxa" w:w="2076"/>
          </w:tcPr>
          <w:p/>
        </w:tc>
        <w:tc>
          <w:tcPr>
            <w:tcW w:type="dxa" w:w="2076"/>
          </w:tcPr>
          <w:p>
            <w:pPr>
              <w:pStyle w:val="null5"/>
              <w:jc w:val="left"/>
            </w:pPr>
            <w:r>
              <w:rPr>
                <w:rFonts w:ascii="仿宋_GB2312" w:hAnsi="仿宋_GB2312" w:cs="仿宋_GB2312" w:eastAsia="仿宋_GB2312"/>
              </w:rPr>
              <w:t>红外分光光度计（核心产品）</w:t>
            </w:r>
          </w:p>
        </w:tc>
        <w:tc>
          <w:tcPr>
            <w:tcW w:type="dxa" w:w="2076"/>
          </w:tcPr>
          <w:p>
            <w:pPr>
              <w:pStyle w:val="null5"/>
              <w:jc w:val="left"/>
            </w:pPr>
            <w:r>
              <w:rPr>
                <w:rFonts w:ascii="仿宋_GB2312" w:hAnsi="仿宋_GB2312" w:cs="仿宋_GB2312" w:eastAsia="仿宋_GB2312"/>
              </w:rPr>
              <w:t>30.检测器：半导体控温型高灵敏度DLATGS检测器，内置电子温度调节装置以保证良好的稳定性。</w:t>
            </w:r>
          </w:p>
        </w:tc>
      </w:tr>
      <w:tr>
        <w:tc>
          <w:tcPr>
            <w:tcW w:type="dxa" w:w="2076"/>
          </w:tcPr>
          <w:p>
            <w:pPr>
              <w:pStyle w:val="null5"/>
              <w:jc w:val="left"/>
            </w:pPr>
            <w:r>
              <w:rPr>
                <w:rFonts w:ascii="仿宋_GB2312" w:hAnsi="仿宋_GB2312" w:cs="仿宋_GB2312" w:eastAsia="仿宋_GB2312"/>
              </w:rPr>
              <w:t>46</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红外分光光度计（核心产品）</w:t>
            </w:r>
          </w:p>
        </w:tc>
        <w:tc>
          <w:tcPr>
            <w:tcW w:type="dxa" w:w="2076"/>
          </w:tcPr>
          <w:p>
            <w:pPr>
              <w:pStyle w:val="null5"/>
              <w:jc w:val="left"/>
            </w:pPr>
            <w:r>
              <w:rPr>
                <w:rFonts w:ascii="仿宋_GB2312" w:hAnsi="仿宋_GB2312" w:cs="仿宋_GB2312" w:eastAsia="仿宋_GB2312"/>
              </w:rPr>
              <w:t>31.自动分析助手：包括药典报告程序（定性鉴别）；异物分析程序（混合物分析，自动解析可能的主成分和次要成分，无需提前提供组分种数）；食品添加剂鉴别程序。</w:t>
            </w:r>
          </w:p>
        </w:tc>
      </w:tr>
      <w:tr>
        <w:tc>
          <w:tcPr>
            <w:tcW w:type="dxa" w:w="2076"/>
          </w:tcPr>
          <w:p>
            <w:pPr>
              <w:pStyle w:val="null5"/>
              <w:jc w:val="left"/>
            </w:pPr>
            <w:r>
              <w:rPr>
                <w:rFonts w:ascii="仿宋_GB2312" w:hAnsi="仿宋_GB2312" w:cs="仿宋_GB2312" w:eastAsia="仿宋_GB2312"/>
              </w:rPr>
              <w:t>47</w:t>
            </w:r>
          </w:p>
        </w:tc>
        <w:tc>
          <w:tcPr>
            <w:tcW w:type="dxa" w:w="2076"/>
          </w:tcPr>
          <w:p/>
        </w:tc>
        <w:tc>
          <w:tcPr>
            <w:tcW w:type="dxa" w:w="2076"/>
          </w:tcPr>
          <w:p>
            <w:pPr>
              <w:pStyle w:val="null5"/>
              <w:jc w:val="left"/>
            </w:pPr>
            <w:r>
              <w:rPr>
                <w:rFonts w:ascii="仿宋_GB2312" w:hAnsi="仿宋_GB2312" w:cs="仿宋_GB2312" w:eastAsia="仿宋_GB2312"/>
              </w:rPr>
              <w:t>红外分光光度计（核心产品）</w:t>
            </w:r>
          </w:p>
        </w:tc>
        <w:tc>
          <w:tcPr>
            <w:tcW w:type="dxa" w:w="2076"/>
          </w:tcPr>
          <w:p>
            <w:pPr>
              <w:pStyle w:val="null5"/>
              <w:jc w:val="left"/>
            </w:pPr>
            <w:r>
              <w:rPr>
                <w:rFonts w:ascii="仿宋_GB2312" w:hAnsi="仿宋_GB2312" w:cs="仿宋_GB2312" w:eastAsia="仿宋_GB2312"/>
              </w:rPr>
              <w:t>32.光度测定模块：可直接读取峰高、峰面积、峰比率数值；读取值可以自动应用到用户自定义的方程中；可自动进行合格与否的判定。</w:t>
            </w:r>
          </w:p>
        </w:tc>
      </w:tr>
      <w:tr>
        <w:tc>
          <w:tcPr>
            <w:tcW w:type="dxa" w:w="2076"/>
          </w:tcPr>
          <w:p>
            <w:pPr>
              <w:pStyle w:val="null5"/>
              <w:jc w:val="left"/>
            </w:pPr>
            <w:r>
              <w:rPr>
                <w:rFonts w:ascii="仿宋_GB2312" w:hAnsi="仿宋_GB2312" w:cs="仿宋_GB2312" w:eastAsia="仿宋_GB2312"/>
              </w:rPr>
              <w:t>48</w:t>
            </w:r>
          </w:p>
        </w:tc>
        <w:tc>
          <w:tcPr>
            <w:tcW w:type="dxa" w:w="2076"/>
          </w:tcPr>
          <w:p/>
        </w:tc>
        <w:tc>
          <w:tcPr>
            <w:tcW w:type="dxa" w:w="2076"/>
          </w:tcPr>
          <w:p>
            <w:pPr>
              <w:pStyle w:val="null5"/>
              <w:jc w:val="left"/>
            </w:pPr>
            <w:r>
              <w:rPr>
                <w:rFonts w:ascii="仿宋_GB2312" w:hAnsi="仿宋_GB2312" w:cs="仿宋_GB2312" w:eastAsia="仿宋_GB2312"/>
              </w:rPr>
              <w:t>红外分光光度计（核心产品）</w:t>
            </w:r>
          </w:p>
        </w:tc>
        <w:tc>
          <w:tcPr>
            <w:tcW w:type="dxa" w:w="2076"/>
          </w:tcPr>
          <w:p>
            <w:pPr>
              <w:pStyle w:val="null5"/>
              <w:jc w:val="left"/>
            </w:pPr>
            <w:r>
              <w:rPr>
                <w:rFonts w:ascii="仿宋_GB2312" w:hAnsi="仿宋_GB2312" w:cs="仿宋_GB2312" w:eastAsia="仿宋_GB2312"/>
              </w:rPr>
              <w:t>33.仪器内置长寿命自动电子除湿装置1个，无需定期更换干燥剂。电子除湿装置采用高分子固态电解膜技术，无噪音，免维护，不产生液态水，无需定期排水或清理。</w:t>
            </w:r>
          </w:p>
        </w:tc>
      </w:tr>
      <w:tr>
        <w:tc>
          <w:tcPr>
            <w:tcW w:type="dxa" w:w="2076"/>
          </w:tcPr>
          <w:p>
            <w:pPr>
              <w:pStyle w:val="null5"/>
              <w:jc w:val="left"/>
            </w:pPr>
            <w:r>
              <w:rPr>
                <w:rFonts w:ascii="仿宋_GB2312" w:hAnsi="仿宋_GB2312" w:cs="仿宋_GB2312" w:eastAsia="仿宋_GB2312"/>
              </w:rPr>
              <w:t>49</w:t>
            </w:r>
          </w:p>
        </w:tc>
        <w:tc>
          <w:tcPr>
            <w:tcW w:type="dxa" w:w="2076"/>
          </w:tcPr>
          <w:p/>
        </w:tc>
        <w:tc>
          <w:tcPr>
            <w:tcW w:type="dxa" w:w="2076"/>
          </w:tcPr>
          <w:p>
            <w:pPr>
              <w:pStyle w:val="null5"/>
              <w:jc w:val="left"/>
            </w:pPr>
            <w:r>
              <w:rPr>
                <w:rFonts w:ascii="仿宋_GB2312" w:hAnsi="仿宋_GB2312" w:cs="仿宋_GB2312" w:eastAsia="仿宋_GB2312"/>
              </w:rPr>
              <w:t>红外分光光度计（核心产品）</w:t>
            </w:r>
          </w:p>
        </w:tc>
        <w:tc>
          <w:tcPr>
            <w:tcW w:type="dxa" w:w="2076"/>
          </w:tcPr>
          <w:p>
            <w:pPr>
              <w:pStyle w:val="null5"/>
              <w:jc w:val="left"/>
            </w:pPr>
            <w:r>
              <w:rPr>
                <w:rFonts w:ascii="仿宋_GB2312" w:hAnsi="仿宋_GB2312" w:cs="仿宋_GB2312" w:eastAsia="仿宋_GB2312"/>
              </w:rPr>
              <w:t>34.配套工作站一台：操作系统：Windows简体中文专业版操作系统；CPU：四核处理器及以上；内存：≥8GB；固态硬盘≥512GB；显示器：≥24 英寸液晶显示器。</w:t>
            </w:r>
          </w:p>
        </w:tc>
      </w:tr>
      <w:tr>
        <w:tc>
          <w:tcPr>
            <w:tcW w:type="dxa" w:w="2076"/>
          </w:tcPr>
          <w:p>
            <w:pPr>
              <w:pStyle w:val="null5"/>
              <w:jc w:val="left"/>
            </w:pPr>
            <w:r>
              <w:rPr>
                <w:rFonts w:ascii="仿宋_GB2312" w:hAnsi="仿宋_GB2312" w:cs="仿宋_GB2312" w:eastAsia="仿宋_GB2312"/>
              </w:rPr>
              <w:t>50</w:t>
            </w:r>
          </w:p>
        </w:tc>
        <w:tc>
          <w:tcPr>
            <w:tcW w:type="dxa" w:w="2076"/>
          </w:tcPr>
          <w:p/>
        </w:tc>
        <w:tc>
          <w:tcPr>
            <w:tcW w:type="dxa" w:w="2076"/>
          </w:tcPr>
          <w:p>
            <w:pPr>
              <w:pStyle w:val="null5"/>
              <w:jc w:val="left"/>
            </w:pPr>
            <w:r>
              <w:rPr>
                <w:rFonts w:ascii="仿宋_GB2312" w:hAnsi="仿宋_GB2312" w:cs="仿宋_GB2312" w:eastAsia="仿宋_GB2312"/>
              </w:rPr>
              <w:t>红外分光光度计（核心产品）</w:t>
            </w:r>
          </w:p>
        </w:tc>
        <w:tc>
          <w:tcPr>
            <w:tcW w:type="dxa" w:w="2076"/>
          </w:tcPr>
          <w:p>
            <w:pPr>
              <w:pStyle w:val="null5"/>
              <w:jc w:val="left"/>
            </w:pPr>
            <w:r>
              <w:rPr>
                <w:rFonts w:ascii="仿宋_GB2312" w:hAnsi="仿宋_GB2312" w:cs="仿宋_GB2312" w:eastAsia="仿宋_GB2312"/>
              </w:rPr>
              <w:t>35.配置固体制样包1套：包括小型油压机（2吨），7mm压片模具，固定环，插板，玛瑙研钵和研杵，50克KBr粉末各一套</w:t>
            </w:r>
          </w:p>
        </w:tc>
      </w:tr>
      <w:tr>
        <w:tc>
          <w:tcPr>
            <w:tcW w:type="dxa" w:w="2076"/>
          </w:tcPr>
          <w:p>
            <w:pPr>
              <w:pStyle w:val="null5"/>
              <w:jc w:val="left"/>
            </w:pPr>
            <w:r>
              <w:rPr>
                <w:rFonts w:ascii="仿宋_GB2312" w:hAnsi="仿宋_GB2312" w:cs="仿宋_GB2312" w:eastAsia="仿宋_GB2312"/>
              </w:rPr>
              <w:t>51</w:t>
            </w:r>
          </w:p>
        </w:tc>
        <w:tc>
          <w:tcPr>
            <w:tcW w:type="dxa" w:w="2076"/>
          </w:tcPr>
          <w:p/>
        </w:tc>
        <w:tc>
          <w:tcPr>
            <w:tcW w:type="dxa" w:w="2076"/>
          </w:tcPr>
          <w:p>
            <w:pPr>
              <w:pStyle w:val="null5"/>
              <w:jc w:val="left"/>
            </w:pPr>
            <w:r>
              <w:rPr>
                <w:rFonts w:ascii="仿宋_GB2312" w:hAnsi="仿宋_GB2312" w:cs="仿宋_GB2312" w:eastAsia="仿宋_GB2312"/>
              </w:rPr>
              <w:t>荧光分光光度计</w:t>
            </w:r>
          </w:p>
        </w:tc>
        <w:tc>
          <w:tcPr>
            <w:tcW w:type="dxa" w:w="2076"/>
          </w:tcPr>
          <w:p>
            <w:pPr>
              <w:pStyle w:val="null5"/>
              <w:jc w:val="left"/>
            </w:pPr>
            <w:r>
              <w:rPr>
                <w:rFonts w:ascii="仿宋_GB2312" w:hAnsi="仿宋_GB2312" w:cs="仿宋_GB2312" w:eastAsia="仿宋_GB2312"/>
              </w:rPr>
              <w:t>数量：1台</w:t>
            </w:r>
          </w:p>
        </w:tc>
      </w:tr>
      <w:tr>
        <w:tc>
          <w:tcPr>
            <w:tcW w:type="dxa" w:w="2076"/>
          </w:tcPr>
          <w:p>
            <w:pPr>
              <w:pStyle w:val="null5"/>
              <w:jc w:val="left"/>
            </w:pPr>
            <w:r>
              <w:rPr>
                <w:rFonts w:ascii="仿宋_GB2312" w:hAnsi="仿宋_GB2312" w:cs="仿宋_GB2312" w:eastAsia="仿宋_GB2312"/>
              </w:rPr>
              <w:t>52</w:t>
            </w:r>
          </w:p>
        </w:tc>
        <w:tc>
          <w:tcPr>
            <w:tcW w:type="dxa" w:w="2076"/>
          </w:tcPr>
          <w:p/>
        </w:tc>
        <w:tc>
          <w:tcPr>
            <w:tcW w:type="dxa" w:w="2076"/>
          </w:tcPr>
          <w:p>
            <w:pPr>
              <w:pStyle w:val="null5"/>
              <w:jc w:val="left"/>
            </w:pPr>
            <w:r>
              <w:rPr>
                <w:rFonts w:ascii="仿宋_GB2312" w:hAnsi="仿宋_GB2312" w:cs="仿宋_GB2312" w:eastAsia="仿宋_GB2312"/>
              </w:rPr>
              <w:t>荧光分光光度计</w:t>
            </w:r>
          </w:p>
        </w:tc>
        <w:tc>
          <w:tcPr>
            <w:tcW w:type="dxa" w:w="2076"/>
          </w:tcPr>
          <w:p>
            <w:pPr>
              <w:pStyle w:val="null5"/>
              <w:jc w:val="left"/>
            </w:pPr>
            <w:r>
              <w:rPr>
                <w:rFonts w:ascii="仿宋_GB2312" w:hAnsi="仿宋_GB2312" w:cs="仿宋_GB2312" w:eastAsia="仿宋_GB2312"/>
              </w:rPr>
              <w:t>1.荧光,生物化学发光均为标准测定功能。</w:t>
            </w:r>
          </w:p>
        </w:tc>
      </w:tr>
      <w:tr>
        <w:tc>
          <w:tcPr>
            <w:tcW w:type="dxa" w:w="2076"/>
          </w:tcPr>
          <w:p>
            <w:pPr>
              <w:pStyle w:val="null5"/>
              <w:jc w:val="left"/>
            </w:pPr>
            <w:r>
              <w:rPr>
                <w:rFonts w:ascii="仿宋_GB2312" w:hAnsi="仿宋_GB2312" w:cs="仿宋_GB2312" w:eastAsia="仿宋_GB2312"/>
              </w:rPr>
              <w:t>53</w:t>
            </w:r>
          </w:p>
        </w:tc>
        <w:tc>
          <w:tcPr>
            <w:tcW w:type="dxa" w:w="2076"/>
          </w:tcPr>
          <w:p/>
        </w:tc>
        <w:tc>
          <w:tcPr>
            <w:tcW w:type="dxa" w:w="2076"/>
          </w:tcPr>
          <w:p>
            <w:pPr>
              <w:pStyle w:val="null5"/>
              <w:jc w:val="left"/>
            </w:pPr>
            <w:r>
              <w:rPr>
                <w:rFonts w:ascii="仿宋_GB2312" w:hAnsi="仿宋_GB2312" w:cs="仿宋_GB2312" w:eastAsia="仿宋_GB2312"/>
              </w:rPr>
              <w:t>荧光分光光度计</w:t>
            </w:r>
          </w:p>
        </w:tc>
        <w:tc>
          <w:tcPr>
            <w:tcW w:type="dxa" w:w="2076"/>
          </w:tcPr>
          <w:p>
            <w:pPr>
              <w:pStyle w:val="null5"/>
              <w:jc w:val="left"/>
            </w:pPr>
            <w:r>
              <w:rPr>
                <w:rFonts w:ascii="仿宋_GB2312" w:hAnsi="仿宋_GB2312" w:cs="仿宋_GB2312" w:eastAsia="仿宋_GB2312"/>
              </w:rPr>
              <w:t>2.单色器：机刻凹面衍射光栅。</w:t>
            </w:r>
          </w:p>
        </w:tc>
      </w:tr>
      <w:tr>
        <w:tc>
          <w:tcPr>
            <w:tcW w:type="dxa" w:w="2076"/>
          </w:tcPr>
          <w:p>
            <w:pPr>
              <w:pStyle w:val="null5"/>
              <w:jc w:val="left"/>
            </w:pPr>
            <w:r>
              <w:rPr>
                <w:rFonts w:ascii="仿宋_GB2312" w:hAnsi="仿宋_GB2312" w:cs="仿宋_GB2312" w:eastAsia="仿宋_GB2312"/>
              </w:rPr>
              <w:t>54</w:t>
            </w:r>
          </w:p>
        </w:tc>
        <w:tc>
          <w:tcPr>
            <w:tcW w:type="dxa" w:w="2076"/>
          </w:tcPr>
          <w:p/>
        </w:tc>
        <w:tc>
          <w:tcPr>
            <w:tcW w:type="dxa" w:w="2076"/>
          </w:tcPr>
          <w:p>
            <w:pPr>
              <w:pStyle w:val="null5"/>
              <w:jc w:val="left"/>
            </w:pPr>
            <w:r>
              <w:rPr>
                <w:rFonts w:ascii="仿宋_GB2312" w:hAnsi="仿宋_GB2312" w:cs="仿宋_GB2312" w:eastAsia="仿宋_GB2312"/>
              </w:rPr>
              <w:t>荧光分光光度计</w:t>
            </w:r>
          </w:p>
        </w:tc>
        <w:tc>
          <w:tcPr>
            <w:tcW w:type="dxa" w:w="2076"/>
          </w:tcPr>
          <w:p>
            <w:pPr>
              <w:pStyle w:val="null5"/>
              <w:jc w:val="left"/>
            </w:pPr>
            <w:r>
              <w:rPr>
                <w:rFonts w:ascii="仿宋_GB2312" w:hAnsi="仿宋_GB2312" w:cs="仿宋_GB2312" w:eastAsia="仿宋_GB2312"/>
              </w:rPr>
              <w:t>3.光源：150w连续氙灯,要求寿命≥2500小时</w:t>
            </w:r>
          </w:p>
        </w:tc>
      </w:tr>
      <w:tr>
        <w:tc>
          <w:tcPr>
            <w:tcW w:type="dxa" w:w="2076"/>
          </w:tcPr>
          <w:p>
            <w:pPr>
              <w:pStyle w:val="null5"/>
              <w:jc w:val="left"/>
            </w:pPr>
            <w:r>
              <w:rPr>
                <w:rFonts w:ascii="仿宋_GB2312" w:hAnsi="仿宋_GB2312" w:cs="仿宋_GB2312" w:eastAsia="仿宋_GB2312"/>
              </w:rPr>
              <w:t>55</w:t>
            </w:r>
          </w:p>
        </w:tc>
        <w:tc>
          <w:tcPr>
            <w:tcW w:type="dxa" w:w="2076"/>
          </w:tcPr>
          <w:p/>
        </w:tc>
        <w:tc>
          <w:tcPr>
            <w:tcW w:type="dxa" w:w="2076"/>
          </w:tcPr>
          <w:p>
            <w:pPr>
              <w:pStyle w:val="null5"/>
              <w:jc w:val="left"/>
            </w:pPr>
            <w:r>
              <w:rPr>
                <w:rFonts w:ascii="仿宋_GB2312" w:hAnsi="仿宋_GB2312" w:cs="仿宋_GB2312" w:eastAsia="仿宋_GB2312"/>
              </w:rPr>
              <w:t>荧光分光光度计</w:t>
            </w:r>
          </w:p>
        </w:tc>
        <w:tc>
          <w:tcPr>
            <w:tcW w:type="dxa" w:w="2076"/>
          </w:tcPr>
          <w:p>
            <w:pPr>
              <w:pStyle w:val="null5"/>
              <w:jc w:val="left"/>
            </w:pPr>
            <w:r>
              <w:rPr>
                <w:rFonts w:ascii="仿宋_GB2312" w:hAnsi="仿宋_GB2312" w:cs="仿宋_GB2312" w:eastAsia="仿宋_GB2312"/>
              </w:rPr>
              <w:t>4.灵敏度：S/N≥1000(RMS) ;S/N≥10000(BG)（EX350nm,5nm,响应时间2S）。</w:t>
            </w:r>
          </w:p>
        </w:tc>
      </w:tr>
      <w:tr>
        <w:tc>
          <w:tcPr>
            <w:tcW w:type="dxa" w:w="2076"/>
          </w:tcPr>
          <w:p>
            <w:pPr>
              <w:pStyle w:val="null5"/>
              <w:jc w:val="left"/>
            </w:pPr>
            <w:r>
              <w:rPr>
                <w:rFonts w:ascii="仿宋_GB2312" w:hAnsi="仿宋_GB2312" w:cs="仿宋_GB2312" w:eastAsia="仿宋_GB2312"/>
              </w:rPr>
              <w:t>56</w:t>
            </w:r>
          </w:p>
        </w:tc>
        <w:tc>
          <w:tcPr>
            <w:tcW w:type="dxa" w:w="2076"/>
          </w:tcPr>
          <w:p/>
        </w:tc>
        <w:tc>
          <w:tcPr>
            <w:tcW w:type="dxa" w:w="2076"/>
          </w:tcPr>
          <w:p>
            <w:pPr>
              <w:pStyle w:val="null5"/>
              <w:jc w:val="left"/>
            </w:pPr>
            <w:r>
              <w:rPr>
                <w:rFonts w:ascii="仿宋_GB2312" w:hAnsi="仿宋_GB2312" w:cs="仿宋_GB2312" w:eastAsia="仿宋_GB2312"/>
              </w:rPr>
              <w:t>荧光分光光度计</w:t>
            </w:r>
          </w:p>
        </w:tc>
        <w:tc>
          <w:tcPr>
            <w:tcW w:type="dxa" w:w="2076"/>
          </w:tcPr>
          <w:p>
            <w:pPr>
              <w:pStyle w:val="null5"/>
              <w:jc w:val="left"/>
            </w:pPr>
            <w:r>
              <w:rPr>
                <w:rFonts w:ascii="仿宋_GB2312" w:hAnsi="仿宋_GB2312" w:cs="仿宋_GB2312" w:eastAsia="仿宋_GB2312"/>
              </w:rPr>
              <w:t>5.极高灵敏度可以测出低至1×10-12mol/L的荧光素,能够连接积分球。</w:t>
            </w:r>
          </w:p>
        </w:tc>
      </w:tr>
      <w:tr>
        <w:tc>
          <w:tcPr>
            <w:tcW w:type="dxa" w:w="2076"/>
          </w:tcPr>
          <w:p>
            <w:pPr>
              <w:pStyle w:val="null5"/>
              <w:jc w:val="left"/>
            </w:pPr>
            <w:r>
              <w:rPr>
                <w:rFonts w:ascii="仿宋_GB2312" w:hAnsi="仿宋_GB2312" w:cs="仿宋_GB2312" w:eastAsia="仿宋_GB2312"/>
              </w:rPr>
              <w:t>57</w:t>
            </w:r>
          </w:p>
        </w:tc>
        <w:tc>
          <w:tcPr>
            <w:tcW w:type="dxa" w:w="2076"/>
          </w:tcPr>
          <w:p/>
        </w:tc>
        <w:tc>
          <w:tcPr>
            <w:tcW w:type="dxa" w:w="2076"/>
          </w:tcPr>
          <w:p>
            <w:pPr>
              <w:pStyle w:val="null5"/>
              <w:jc w:val="left"/>
            </w:pPr>
            <w:r>
              <w:rPr>
                <w:rFonts w:ascii="仿宋_GB2312" w:hAnsi="仿宋_GB2312" w:cs="仿宋_GB2312" w:eastAsia="仿宋_GB2312"/>
              </w:rPr>
              <w:t>荧光分光光度计</w:t>
            </w:r>
          </w:p>
        </w:tc>
        <w:tc>
          <w:tcPr>
            <w:tcW w:type="dxa" w:w="2076"/>
          </w:tcPr>
          <w:p>
            <w:pPr>
              <w:pStyle w:val="null5"/>
              <w:jc w:val="left"/>
            </w:pPr>
            <w:r>
              <w:rPr>
                <w:rFonts w:ascii="仿宋_GB2312" w:hAnsi="仿宋_GB2312" w:cs="仿宋_GB2312" w:eastAsia="仿宋_GB2312"/>
              </w:rPr>
              <w:t>6.波长准确度：≤±2nm</w:t>
            </w:r>
          </w:p>
        </w:tc>
      </w:tr>
      <w:tr>
        <w:tc>
          <w:tcPr>
            <w:tcW w:type="dxa" w:w="2076"/>
          </w:tcPr>
          <w:p>
            <w:pPr>
              <w:pStyle w:val="null5"/>
              <w:jc w:val="left"/>
            </w:pPr>
            <w:r>
              <w:rPr>
                <w:rFonts w:ascii="仿宋_GB2312" w:hAnsi="仿宋_GB2312" w:cs="仿宋_GB2312" w:eastAsia="仿宋_GB2312"/>
              </w:rPr>
              <w:t>58</w:t>
            </w:r>
          </w:p>
        </w:tc>
        <w:tc>
          <w:tcPr>
            <w:tcW w:type="dxa" w:w="2076"/>
          </w:tcPr>
          <w:p/>
        </w:tc>
        <w:tc>
          <w:tcPr>
            <w:tcW w:type="dxa" w:w="2076"/>
          </w:tcPr>
          <w:p>
            <w:pPr>
              <w:pStyle w:val="null5"/>
              <w:jc w:val="left"/>
            </w:pPr>
            <w:r>
              <w:rPr>
                <w:rFonts w:ascii="仿宋_GB2312" w:hAnsi="仿宋_GB2312" w:cs="仿宋_GB2312" w:eastAsia="仿宋_GB2312"/>
              </w:rPr>
              <w:t>荧光分光光度计</w:t>
            </w:r>
          </w:p>
        </w:tc>
        <w:tc>
          <w:tcPr>
            <w:tcW w:type="dxa" w:w="2076"/>
          </w:tcPr>
          <w:p>
            <w:pPr>
              <w:pStyle w:val="null5"/>
              <w:jc w:val="left"/>
            </w:pPr>
            <w:r>
              <w:rPr>
                <w:rFonts w:ascii="仿宋_GB2312" w:hAnsi="仿宋_GB2312" w:cs="仿宋_GB2312" w:eastAsia="仿宋_GB2312"/>
              </w:rPr>
              <w:t>7.波长扫描速度：≥12000nm/min</w:t>
            </w:r>
          </w:p>
        </w:tc>
      </w:tr>
      <w:tr>
        <w:tc>
          <w:tcPr>
            <w:tcW w:type="dxa" w:w="2076"/>
          </w:tcPr>
          <w:p>
            <w:pPr>
              <w:pStyle w:val="null5"/>
              <w:jc w:val="left"/>
            </w:pPr>
            <w:r>
              <w:rPr>
                <w:rFonts w:ascii="仿宋_GB2312" w:hAnsi="仿宋_GB2312" w:cs="仿宋_GB2312" w:eastAsia="仿宋_GB2312"/>
              </w:rPr>
              <w:t>59</w:t>
            </w:r>
          </w:p>
        </w:tc>
        <w:tc>
          <w:tcPr>
            <w:tcW w:type="dxa" w:w="2076"/>
          </w:tcPr>
          <w:p/>
        </w:tc>
        <w:tc>
          <w:tcPr>
            <w:tcW w:type="dxa" w:w="2076"/>
          </w:tcPr>
          <w:p>
            <w:pPr>
              <w:pStyle w:val="null5"/>
              <w:jc w:val="left"/>
            </w:pPr>
            <w:r>
              <w:rPr>
                <w:rFonts w:ascii="仿宋_GB2312" w:hAnsi="仿宋_GB2312" w:cs="仿宋_GB2312" w:eastAsia="仿宋_GB2312"/>
              </w:rPr>
              <w:t>荧光分光光度计</w:t>
            </w:r>
          </w:p>
        </w:tc>
        <w:tc>
          <w:tcPr>
            <w:tcW w:type="dxa" w:w="2076"/>
          </w:tcPr>
          <w:p>
            <w:pPr>
              <w:pStyle w:val="null5"/>
              <w:jc w:val="left"/>
            </w:pPr>
            <w:r>
              <w:rPr>
                <w:rFonts w:ascii="仿宋_GB2312" w:hAnsi="仿宋_GB2312" w:cs="仿宋_GB2312" w:eastAsia="仿宋_GB2312"/>
              </w:rPr>
              <w:t>8.快速扫描保证光敏感及易挥发样品测试的光谱准确性。</w:t>
            </w:r>
          </w:p>
        </w:tc>
      </w:tr>
      <w:tr>
        <w:tc>
          <w:tcPr>
            <w:tcW w:type="dxa" w:w="2076"/>
          </w:tcPr>
          <w:p>
            <w:pPr>
              <w:pStyle w:val="null5"/>
              <w:jc w:val="left"/>
            </w:pPr>
            <w:r>
              <w:rPr>
                <w:rFonts w:ascii="仿宋_GB2312" w:hAnsi="仿宋_GB2312" w:cs="仿宋_GB2312" w:eastAsia="仿宋_GB2312"/>
              </w:rPr>
              <w:t>60</w:t>
            </w:r>
          </w:p>
        </w:tc>
        <w:tc>
          <w:tcPr>
            <w:tcW w:type="dxa" w:w="2076"/>
          </w:tcPr>
          <w:p/>
        </w:tc>
        <w:tc>
          <w:tcPr>
            <w:tcW w:type="dxa" w:w="2076"/>
          </w:tcPr>
          <w:p>
            <w:pPr>
              <w:pStyle w:val="null5"/>
              <w:jc w:val="left"/>
            </w:pPr>
            <w:r>
              <w:rPr>
                <w:rFonts w:ascii="仿宋_GB2312" w:hAnsi="仿宋_GB2312" w:cs="仿宋_GB2312" w:eastAsia="仿宋_GB2312"/>
              </w:rPr>
              <w:t>荧光分光光度计</w:t>
            </w:r>
          </w:p>
        </w:tc>
        <w:tc>
          <w:tcPr>
            <w:tcW w:type="dxa" w:w="2076"/>
          </w:tcPr>
          <w:p>
            <w:pPr>
              <w:pStyle w:val="null5"/>
              <w:jc w:val="left"/>
            </w:pPr>
            <w:r>
              <w:rPr>
                <w:rFonts w:ascii="仿宋_GB2312" w:hAnsi="仿宋_GB2312" w:cs="仿宋_GB2312" w:eastAsia="仿宋_GB2312"/>
              </w:rPr>
              <w:t>9.可做三维图谱扫描分析:实时显示荧光强度,激发波长,发射波长。</w:t>
            </w:r>
          </w:p>
        </w:tc>
      </w:tr>
      <w:tr>
        <w:tc>
          <w:tcPr>
            <w:tcW w:type="dxa" w:w="2076"/>
          </w:tcPr>
          <w:p>
            <w:pPr>
              <w:pStyle w:val="null5"/>
              <w:jc w:val="left"/>
            </w:pPr>
            <w:r>
              <w:rPr>
                <w:rFonts w:ascii="仿宋_GB2312" w:hAnsi="仿宋_GB2312" w:cs="仿宋_GB2312" w:eastAsia="仿宋_GB2312"/>
              </w:rPr>
              <w:t>61</w:t>
            </w:r>
          </w:p>
        </w:tc>
        <w:tc>
          <w:tcPr>
            <w:tcW w:type="dxa" w:w="2076"/>
          </w:tcPr>
          <w:p/>
        </w:tc>
        <w:tc>
          <w:tcPr>
            <w:tcW w:type="dxa" w:w="2076"/>
          </w:tcPr>
          <w:p>
            <w:pPr>
              <w:pStyle w:val="null5"/>
              <w:jc w:val="left"/>
            </w:pPr>
            <w:r>
              <w:rPr>
                <w:rFonts w:ascii="仿宋_GB2312" w:hAnsi="仿宋_GB2312" w:cs="仿宋_GB2312" w:eastAsia="仿宋_GB2312"/>
              </w:rPr>
              <w:t>荧光分光光度计</w:t>
            </w:r>
          </w:p>
        </w:tc>
        <w:tc>
          <w:tcPr>
            <w:tcW w:type="dxa" w:w="2076"/>
          </w:tcPr>
          <w:p>
            <w:pPr>
              <w:pStyle w:val="null5"/>
              <w:jc w:val="left"/>
            </w:pPr>
            <w:r>
              <w:rPr>
                <w:rFonts w:ascii="仿宋_GB2312" w:hAnsi="仿宋_GB2312" w:cs="仿宋_GB2312" w:eastAsia="仿宋_GB2312"/>
              </w:rPr>
              <w:t>10.光谱带宽：2.5/5/10/20.0nm可调。</w:t>
            </w:r>
          </w:p>
        </w:tc>
      </w:tr>
      <w:tr>
        <w:tc>
          <w:tcPr>
            <w:tcW w:type="dxa" w:w="2076"/>
          </w:tcPr>
          <w:p>
            <w:pPr>
              <w:pStyle w:val="null5"/>
              <w:jc w:val="left"/>
            </w:pPr>
            <w:r>
              <w:rPr>
                <w:rFonts w:ascii="仿宋_GB2312" w:hAnsi="仿宋_GB2312" w:cs="仿宋_GB2312" w:eastAsia="仿宋_GB2312"/>
              </w:rPr>
              <w:t>62</w:t>
            </w:r>
          </w:p>
        </w:tc>
        <w:tc>
          <w:tcPr>
            <w:tcW w:type="dxa" w:w="2076"/>
          </w:tcPr>
          <w:p/>
        </w:tc>
        <w:tc>
          <w:tcPr>
            <w:tcW w:type="dxa" w:w="2076"/>
          </w:tcPr>
          <w:p>
            <w:pPr>
              <w:pStyle w:val="null5"/>
              <w:jc w:val="left"/>
            </w:pPr>
            <w:r>
              <w:rPr>
                <w:rFonts w:ascii="仿宋_GB2312" w:hAnsi="仿宋_GB2312" w:cs="仿宋_GB2312" w:eastAsia="仿宋_GB2312"/>
              </w:rPr>
              <w:t>荧光分光光度计</w:t>
            </w:r>
          </w:p>
        </w:tc>
        <w:tc>
          <w:tcPr>
            <w:tcW w:type="dxa" w:w="2076"/>
          </w:tcPr>
          <w:p>
            <w:pPr>
              <w:pStyle w:val="null5"/>
              <w:jc w:val="left"/>
            </w:pPr>
            <w:r>
              <w:rPr>
                <w:rFonts w:ascii="仿宋_GB2312" w:hAnsi="仿宋_GB2312" w:cs="仿宋_GB2312" w:eastAsia="仿宋_GB2312"/>
              </w:rPr>
              <w:t>11.线性动态范围:≥6个数量级。</w:t>
            </w:r>
          </w:p>
        </w:tc>
      </w:tr>
      <w:tr>
        <w:tc>
          <w:tcPr>
            <w:tcW w:type="dxa" w:w="2076"/>
          </w:tcPr>
          <w:p>
            <w:pPr>
              <w:pStyle w:val="null5"/>
              <w:jc w:val="left"/>
            </w:pPr>
            <w:r>
              <w:rPr>
                <w:rFonts w:ascii="仿宋_GB2312" w:hAnsi="仿宋_GB2312" w:cs="仿宋_GB2312" w:eastAsia="仿宋_GB2312"/>
              </w:rPr>
              <w:t>63</w:t>
            </w:r>
          </w:p>
        </w:tc>
        <w:tc>
          <w:tcPr>
            <w:tcW w:type="dxa" w:w="2076"/>
          </w:tcPr>
          <w:p/>
        </w:tc>
        <w:tc>
          <w:tcPr>
            <w:tcW w:type="dxa" w:w="2076"/>
          </w:tcPr>
          <w:p>
            <w:pPr>
              <w:pStyle w:val="null5"/>
              <w:jc w:val="left"/>
            </w:pPr>
            <w:r>
              <w:rPr>
                <w:rFonts w:ascii="仿宋_GB2312" w:hAnsi="仿宋_GB2312" w:cs="仿宋_GB2312" w:eastAsia="仿宋_GB2312"/>
              </w:rPr>
              <w:t>荧光分光光度计</w:t>
            </w:r>
          </w:p>
        </w:tc>
        <w:tc>
          <w:tcPr>
            <w:tcW w:type="dxa" w:w="2076"/>
          </w:tcPr>
          <w:p>
            <w:pPr>
              <w:pStyle w:val="null5"/>
              <w:jc w:val="left"/>
            </w:pPr>
            <w:r>
              <w:rPr>
                <w:rFonts w:ascii="仿宋_GB2312" w:hAnsi="仿宋_GB2312" w:cs="仿宋_GB2312" w:eastAsia="仿宋_GB2312"/>
              </w:rPr>
              <w:t>12.光度值显示范围：-9999到9999</w:t>
            </w:r>
          </w:p>
        </w:tc>
      </w:tr>
      <w:tr>
        <w:tc>
          <w:tcPr>
            <w:tcW w:type="dxa" w:w="2076"/>
          </w:tcPr>
          <w:p>
            <w:pPr>
              <w:pStyle w:val="null5"/>
              <w:jc w:val="left"/>
            </w:pPr>
            <w:r>
              <w:rPr>
                <w:rFonts w:ascii="仿宋_GB2312" w:hAnsi="仿宋_GB2312" w:cs="仿宋_GB2312" w:eastAsia="仿宋_GB2312"/>
              </w:rPr>
              <w:t>64</w:t>
            </w:r>
          </w:p>
        </w:tc>
        <w:tc>
          <w:tcPr>
            <w:tcW w:type="dxa" w:w="2076"/>
          </w:tcPr>
          <w:p/>
        </w:tc>
        <w:tc>
          <w:tcPr>
            <w:tcW w:type="dxa" w:w="2076"/>
          </w:tcPr>
          <w:p>
            <w:pPr>
              <w:pStyle w:val="null5"/>
              <w:jc w:val="left"/>
            </w:pPr>
            <w:r>
              <w:rPr>
                <w:rFonts w:ascii="仿宋_GB2312" w:hAnsi="仿宋_GB2312" w:cs="仿宋_GB2312" w:eastAsia="仿宋_GB2312"/>
              </w:rPr>
              <w:t>荧光分光光度计</w:t>
            </w:r>
          </w:p>
        </w:tc>
        <w:tc>
          <w:tcPr>
            <w:tcW w:type="dxa" w:w="2076"/>
          </w:tcPr>
          <w:p>
            <w:pPr>
              <w:pStyle w:val="null5"/>
              <w:jc w:val="left"/>
            </w:pPr>
            <w:r>
              <w:rPr>
                <w:rFonts w:ascii="仿宋_GB2312" w:hAnsi="仿宋_GB2312" w:cs="仿宋_GB2312" w:eastAsia="仿宋_GB2312"/>
              </w:rPr>
              <w:t>13.测光方式为单色光检测器比值计算法而非光电倍增管电极反馈法。</w:t>
            </w:r>
          </w:p>
        </w:tc>
      </w:tr>
      <w:tr>
        <w:tc>
          <w:tcPr>
            <w:tcW w:type="dxa" w:w="2076"/>
          </w:tcPr>
          <w:p>
            <w:pPr>
              <w:pStyle w:val="null5"/>
              <w:jc w:val="left"/>
            </w:pPr>
            <w:r>
              <w:rPr>
                <w:rFonts w:ascii="仿宋_GB2312" w:hAnsi="仿宋_GB2312" w:cs="仿宋_GB2312" w:eastAsia="仿宋_GB2312"/>
              </w:rPr>
              <w:t>65</w:t>
            </w:r>
          </w:p>
        </w:tc>
        <w:tc>
          <w:tcPr>
            <w:tcW w:type="dxa" w:w="2076"/>
          </w:tcPr>
          <w:p/>
        </w:tc>
        <w:tc>
          <w:tcPr>
            <w:tcW w:type="dxa" w:w="2076"/>
          </w:tcPr>
          <w:p>
            <w:pPr>
              <w:pStyle w:val="null5"/>
              <w:jc w:val="left"/>
            </w:pPr>
            <w:r>
              <w:rPr>
                <w:rFonts w:ascii="仿宋_GB2312" w:hAnsi="仿宋_GB2312" w:cs="仿宋_GB2312" w:eastAsia="仿宋_GB2312"/>
              </w:rPr>
              <w:t>荧光分光光度计</w:t>
            </w:r>
          </w:p>
        </w:tc>
        <w:tc>
          <w:tcPr>
            <w:tcW w:type="dxa" w:w="2076"/>
          </w:tcPr>
          <w:p>
            <w:pPr>
              <w:pStyle w:val="null5"/>
              <w:jc w:val="left"/>
            </w:pPr>
            <w:r>
              <w:rPr>
                <w:rFonts w:ascii="仿宋_GB2312" w:hAnsi="仿宋_GB2312" w:cs="仿宋_GB2312" w:eastAsia="仿宋_GB2312"/>
              </w:rPr>
              <w:t>14.预留外接激光器接口,可以直接连接激光器光源。</w:t>
            </w:r>
          </w:p>
        </w:tc>
      </w:tr>
      <w:tr>
        <w:tc>
          <w:tcPr>
            <w:tcW w:type="dxa" w:w="2076"/>
          </w:tcPr>
          <w:p>
            <w:pPr>
              <w:pStyle w:val="null5"/>
              <w:jc w:val="left"/>
            </w:pPr>
            <w:r>
              <w:rPr>
                <w:rFonts w:ascii="仿宋_GB2312" w:hAnsi="仿宋_GB2312" w:cs="仿宋_GB2312" w:eastAsia="仿宋_GB2312"/>
              </w:rPr>
              <w:t>66</w:t>
            </w:r>
          </w:p>
        </w:tc>
        <w:tc>
          <w:tcPr>
            <w:tcW w:type="dxa" w:w="2076"/>
          </w:tcPr>
          <w:p/>
        </w:tc>
        <w:tc>
          <w:tcPr>
            <w:tcW w:type="dxa" w:w="2076"/>
          </w:tcPr>
          <w:p>
            <w:pPr>
              <w:pStyle w:val="null5"/>
              <w:jc w:val="left"/>
            </w:pPr>
            <w:r>
              <w:rPr>
                <w:rFonts w:ascii="仿宋_GB2312" w:hAnsi="仿宋_GB2312" w:cs="仿宋_GB2312" w:eastAsia="仿宋_GB2312"/>
              </w:rPr>
              <w:t>荧光分光光度计</w:t>
            </w:r>
          </w:p>
        </w:tc>
        <w:tc>
          <w:tcPr>
            <w:tcW w:type="dxa" w:w="2076"/>
          </w:tcPr>
          <w:p>
            <w:pPr>
              <w:pStyle w:val="null5"/>
              <w:jc w:val="left"/>
            </w:pPr>
            <w:r>
              <w:rPr>
                <w:rFonts w:ascii="仿宋_GB2312" w:hAnsi="仿宋_GB2312" w:cs="仿宋_GB2312" w:eastAsia="仿宋_GB2312"/>
              </w:rPr>
              <w:t>15.设备底座及外壳均为金属化，防止外界对仪器的干扰。</w:t>
            </w:r>
          </w:p>
        </w:tc>
      </w:tr>
      <w:tr>
        <w:tc>
          <w:tcPr>
            <w:tcW w:type="dxa" w:w="2076"/>
          </w:tcPr>
          <w:p>
            <w:pPr>
              <w:pStyle w:val="null5"/>
              <w:jc w:val="left"/>
            </w:pPr>
            <w:r>
              <w:rPr>
                <w:rFonts w:ascii="仿宋_GB2312" w:hAnsi="仿宋_GB2312" w:cs="仿宋_GB2312" w:eastAsia="仿宋_GB2312"/>
              </w:rPr>
              <w:t>67</w:t>
            </w:r>
          </w:p>
        </w:tc>
        <w:tc>
          <w:tcPr>
            <w:tcW w:type="dxa" w:w="2076"/>
          </w:tcPr>
          <w:p/>
        </w:tc>
        <w:tc>
          <w:tcPr>
            <w:tcW w:type="dxa" w:w="2076"/>
          </w:tcPr>
          <w:p>
            <w:pPr>
              <w:pStyle w:val="null5"/>
              <w:jc w:val="left"/>
            </w:pPr>
            <w:r>
              <w:rPr>
                <w:rFonts w:ascii="仿宋_GB2312" w:hAnsi="仿宋_GB2312" w:cs="仿宋_GB2312" w:eastAsia="仿宋_GB2312"/>
              </w:rPr>
              <w:t>荧光分光光度计</w:t>
            </w:r>
          </w:p>
        </w:tc>
        <w:tc>
          <w:tcPr>
            <w:tcW w:type="dxa" w:w="2076"/>
          </w:tcPr>
          <w:p>
            <w:pPr>
              <w:pStyle w:val="null5"/>
              <w:jc w:val="left"/>
            </w:pPr>
            <w:r>
              <w:rPr>
                <w:rFonts w:ascii="仿宋_GB2312" w:hAnsi="仿宋_GB2312" w:cs="仿宋_GB2312" w:eastAsia="仿宋_GB2312"/>
              </w:rPr>
              <w:t>16.可拓展升级积分球附件,偏振附件,细胞内钙离子附件。</w:t>
            </w:r>
          </w:p>
        </w:tc>
      </w:tr>
      <w:tr>
        <w:tc>
          <w:tcPr>
            <w:tcW w:type="dxa" w:w="2076"/>
          </w:tcPr>
          <w:p>
            <w:pPr>
              <w:pStyle w:val="null5"/>
              <w:jc w:val="left"/>
            </w:pPr>
            <w:r>
              <w:rPr>
                <w:rFonts w:ascii="仿宋_GB2312" w:hAnsi="仿宋_GB2312" w:cs="仿宋_GB2312" w:eastAsia="仿宋_GB2312"/>
              </w:rPr>
              <w:t>68</w:t>
            </w:r>
          </w:p>
        </w:tc>
        <w:tc>
          <w:tcPr>
            <w:tcW w:type="dxa" w:w="2076"/>
          </w:tcPr>
          <w:p/>
        </w:tc>
        <w:tc>
          <w:tcPr>
            <w:tcW w:type="dxa" w:w="2076"/>
          </w:tcPr>
          <w:p>
            <w:pPr>
              <w:pStyle w:val="null5"/>
              <w:jc w:val="left"/>
            </w:pPr>
            <w:r>
              <w:rPr>
                <w:rFonts w:ascii="仿宋_GB2312" w:hAnsi="仿宋_GB2312" w:cs="仿宋_GB2312" w:eastAsia="仿宋_GB2312"/>
              </w:rPr>
              <w:t>荧光分光光度计</w:t>
            </w:r>
          </w:p>
        </w:tc>
        <w:tc>
          <w:tcPr>
            <w:tcW w:type="dxa" w:w="2076"/>
          </w:tcPr>
          <w:p>
            <w:pPr>
              <w:pStyle w:val="null5"/>
              <w:jc w:val="left"/>
            </w:pPr>
            <w:r>
              <w:rPr>
                <w:rFonts w:ascii="仿宋_GB2312" w:hAnsi="仿宋_GB2312" w:cs="仿宋_GB2312" w:eastAsia="仿宋_GB2312"/>
              </w:rPr>
              <w:t>17.功能:定量计算，波长扫描，时间相关测量，三维测量，自动灵敏度测量，波长准确度和波长设定重复性测量，预扫描(PC控制）和数据存储功能。</w:t>
            </w:r>
          </w:p>
        </w:tc>
      </w:tr>
      <w:tr>
        <w:tc>
          <w:tcPr>
            <w:tcW w:type="dxa" w:w="2076"/>
          </w:tcPr>
          <w:p>
            <w:pPr>
              <w:pStyle w:val="null5"/>
              <w:jc w:val="left"/>
            </w:pPr>
            <w:r>
              <w:rPr>
                <w:rFonts w:ascii="仿宋_GB2312" w:hAnsi="仿宋_GB2312" w:cs="仿宋_GB2312" w:eastAsia="仿宋_GB2312"/>
              </w:rPr>
              <w:t>69</w:t>
            </w:r>
          </w:p>
        </w:tc>
        <w:tc>
          <w:tcPr>
            <w:tcW w:type="dxa" w:w="2076"/>
          </w:tcPr>
          <w:p/>
        </w:tc>
        <w:tc>
          <w:tcPr>
            <w:tcW w:type="dxa" w:w="2076"/>
          </w:tcPr>
          <w:p>
            <w:pPr>
              <w:pStyle w:val="null5"/>
              <w:jc w:val="left"/>
            </w:pPr>
            <w:r>
              <w:rPr>
                <w:rFonts w:ascii="仿宋_GB2312" w:hAnsi="仿宋_GB2312" w:cs="仿宋_GB2312" w:eastAsia="仿宋_GB2312"/>
              </w:rPr>
              <w:t>荧光分光光度计</w:t>
            </w:r>
          </w:p>
        </w:tc>
        <w:tc>
          <w:tcPr>
            <w:tcW w:type="dxa" w:w="2076"/>
          </w:tcPr>
          <w:p>
            <w:pPr>
              <w:pStyle w:val="null5"/>
              <w:jc w:val="left"/>
            </w:pPr>
            <w:r>
              <w:rPr>
                <w:rFonts w:ascii="仿宋_GB2312" w:hAnsi="仿宋_GB2312" w:cs="仿宋_GB2312" w:eastAsia="仿宋_GB2312"/>
              </w:rPr>
              <w:t>18.配套荧光光谱专用分析软件:发光强度、激发和发射波长,光谱带宽均可由显示屏实时显示.光谱或时间数据均实时显示并可自动存盘.对储存数据算术运算功能,包括四则运算,平滑功能,1－4阶导数,求面积,求峰值等。</w:t>
            </w:r>
          </w:p>
        </w:tc>
      </w:tr>
      <w:tr>
        <w:tc>
          <w:tcPr>
            <w:tcW w:type="dxa" w:w="2076"/>
          </w:tcPr>
          <w:p>
            <w:pPr>
              <w:pStyle w:val="null5"/>
              <w:jc w:val="left"/>
            </w:pPr>
            <w:r>
              <w:rPr>
                <w:rFonts w:ascii="仿宋_GB2312" w:hAnsi="仿宋_GB2312" w:cs="仿宋_GB2312" w:eastAsia="仿宋_GB2312"/>
              </w:rPr>
              <w:t>70</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荧光分光光度计</w:t>
            </w:r>
          </w:p>
        </w:tc>
        <w:tc>
          <w:tcPr>
            <w:tcW w:type="dxa" w:w="2076"/>
          </w:tcPr>
          <w:p>
            <w:pPr>
              <w:pStyle w:val="null5"/>
              <w:jc w:val="left"/>
            </w:pPr>
            <w:r>
              <w:rPr>
                <w:rFonts w:ascii="仿宋_GB2312" w:hAnsi="仿宋_GB2312" w:cs="仿宋_GB2312" w:eastAsia="仿宋_GB2312"/>
              </w:rPr>
              <w:t>19.狭缝方式:水平狭缝;标准10mm荧光池最小试样体积≤0.6mL。</w:t>
            </w:r>
          </w:p>
        </w:tc>
      </w:tr>
      <w:tr>
        <w:tc>
          <w:tcPr>
            <w:tcW w:type="dxa" w:w="2076"/>
          </w:tcPr>
          <w:p>
            <w:pPr>
              <w:pStyle w:val="null5"/>
              <w:jc w:val="left"/>
            </w:pPr>
            <w:r>
              <w:rPr>
                <w:rFonts w:ascii="仿宋_GB2312" w:hAnsi="仿宋_GB2312" w:cs="仿宋_GB2312" w:eastAsia="仿宋_GB2312"/>
              </w:rPr>
              <w:t>71</w:t>
            </w:r>
          </w:p>
        </w:tc>
        <w:tc>
          <w:tcPr>
            <w:tcW w:type="dxa" w:w="2076"/>
          </w:tcPr>
          <w:p/>
        </w:tc>
        <w:tc>
          <w:tcPr>
            <w:tcW w:type="dxa" w:w="2076"/>
          </w:tcPr>
          <w:p>
            <w:pPr>
              <w:pStyle w:val="null5"/>
              <w:jc w:val="left"/>
            </w:pPr>
            <w:r>
              <w:rPr>
                <w:rFonts w:ascii="仿宋_GB2312" w:hAnsi="仿宋_GB2312" w:cs="仿宋_GB2312" w:eastAsia="仿宋_GB2312"/>
              </w:rPr>
              <w:t>荧光分光光度计</w:t>
            </w:r>
          </w:p>
        </w:tc>
        <w:tc>
          <w:tcPr>
            <w:tcW w:type="dxa" w:w="2076"/>
          </w:tcPr>
          <w:p>
            <w:pPr>
              <w:pStyle w:val="null5"/>
              <w:jc w:val="left"/>
            </w:pPr>
            <w:r>
              <w:rPr>
                <w:rFonts w:ascii="仿宋_GB2312" w:hAnsi="仿宋_GB2312" w:cs="仿宋_GB2312" w:eastAsia="仿宋_GB2312"/>
              </w:rPr>
              <w:t>20.要求具备自动预扫描功能:未知样品的最佳激发/发射波长的检索功能。</w:t>
            </w:r>
          </w:p>
        </w:tc>
      </w:tr>
      <w:tr>
        <w:tc>
          <w:tcPr>
            <w:tcW w:type="dxa" w:w="2076"/>
          </w:tcPr>
          <w:p>
            <w:pPr>
              <w:pStyle w:val="null5"/>
              <w:jc w:val="left"/>
            </w:pPr>
            <w:r>
              <w:rPr>
                <w:rFonts w:ascii="仿宋_GB2312" w:hAnsi="仿宋_GB2312" w:cs="仿宋_GB2312" w:eastAsia="仿宋_GB2312"/>
              </w:rPr>
              <w:t>72</w:t>
            </w:r>
          </w:p>
        </w:tc>
        <w:tc>
          <w:tcPr>
            <w:tcW w:type="dxa" w:w="2076"/>
          </w:tcPr>
          <w:p/>
        </w:tc>
        <w:tc>
          <w:tcPr>
            <w:tcW w:type="dxa" w:w="2076"/>
          </w:tcPr>
          <w:p>
            <w:pPr>
              <w:pStyle w:val="null5"/>
              <w:jc w:val="left"/>
            </w:pPr>
            <w:r>
              <w:rPr>
                <w:rFonts w:ascii="仿宋_GB2312" w:hAnsi="仿宋_GB2312" w:cs="仿宋_GB2312" w:eastAsia="仿宋_GB2312"/>
              </w:rPr>
              <w:t>荧光分光光度计</w:t>
            </w:r>
          </w:p>
        </w:tc>
        <w:tc>
          <w:tcPr>
            <w:tcW w:type="dxa" w:w="2076"/>
          </w:tcPr>
          <w:p>
            <w:pPr>
              <w:pStyle w:val="null5"/>
              <w:jc w:val="left"/>
            </w:pPr>
            <w:r>
              <w:rPr>
                <w:rFonts w:ascii="仿宋_GB2312" w:hAnsi="仿宋_GB2312" w:cs="仿宋_GB2312" w:eastAsia="仿宋_GB2312"/>
              </w:rPr>
              <w:t>21.检测器具有自动增益功能,电压可调功能。</w:t>
            </w:r>
          </w:p>
        </w:tc>
      </w:tr>
      <w:tr>
        <w:tc>
          <w:tcPr>
            <w:tcW w:type="dxa" w:w="2076"/>
          </w:tcPr>
          <w:p>
            <w:pPr>
              <w:pStyle w:val="null5"/>
              <w:jc w:val="left"/>
            </w:pPr>
            <w:r>
              <w:rPr>
                <w:rFonts w:ascii="仿宋_GB2312" w:hAnsi="仿宋_GB2312" w:cs="仿宋_GB2312" w:eastAsia="仿宋_GB2312"/>
              </w:rPr>
              <w:t>73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荧光分光光度计</w:t>
            </w:r>
          </w:p>
        </w:tc>
        <w:tc>
          <w:tcPr>
            <w:tcW w:type="dxa" w:w="2076"/>
          </w:tcPr>
          <w:p>
            <w:pPr>
              <w:pStyle w:val="null5"/>
              <w:jc w:val="left"/>
            </w:pPr>
            <w:r>
              <w:rPr>
                <w:rFonts w:ascii="仿宋_GB2312" w:hAnsi="仿宋_GB2312" w:cs="仿宋_GB2312" w:eastAsia="仿宋_GB2312"/>
              </w:rPr>
              <w:t>22.可通过流通池与LC连接使用，作为荧光检测器使用。</w:t>
            </w:r>
          </w:p>
        </w:tc>
      </w:tr>
      <w:tr>
        <w:tc>
          <w:tcPr>
            <w:tcW w:type="dxa" w:w="2076"/>
          </w:tcPr>
          <w:p>
            <w:pPr>
              <w:pStyle w:val="null5"/>
              <w:jc w:val="left"/>
            </w:pPr>
            <w:r>
              <w:rPr>
                <w:rFonts w:ascii="仿宋_GB2312" w:hAnsi="仿宋_GB2312" w:cs="仿宋_GB2312" w:eastAsia="仿宋_GB2312"/>
              </w:rPr>
              <w:t>74</w:t>
            </w:r>
          </w:p>
        </w:tc>
        <w:tc>
          <w:tcPr>
            <w:tcW w:type="dxa" w:w="2076"/>
          </w:tcPr>
          <w:p/>
        </w:tc>
        <w:tc>
          <w:tcPr>
            <w:tcW w:type="dxa" w:w="2076"/>
          </w:tcPr>
          <w:p>
            <w:pPr>
              <w:pStyle w:val="null5"/>
              <w:jc w:val="left"/>
            </w:pPr>
            <w:r>
              <w:rPr>
                <w:rFonts w:ascii="仿宋_GB2312" w:hAnsi="仿宋_GB2312" w:cs="仿宋_GB2312" w:eastAsia="仿宋_GB2312"/>
              </w:rPr>
              <w:t>荧光分光光度计</w:t>
            </w:r>
          </w:p>
        </w:tc>
        <w:tc>
          <w:tcPr>
            <w:tcW w:type="dxa" w:w="2076"/>
          </w:tcPr>
          <w:p>
            <w:pPr>
              <w:pStyle w:val="null5"/>
              <w:jc w:val="left"/>
            </w:pPr>
            <w:r>
              <w:rPr>
                <w:rFonts w:ascii="仿宋_GB2312" w:hAnsi="仿宋_GB2312" w:cs="仿宋_GB2312" w:eastAsia="仿宋_GB2312"/>
              </w:rPr>
              <w:t>23.可连接显微成像附件,通过荧光图像分离实现可视化观察。</w:t>
            </w:r>
          </w:p>
        </w:tc>
      </w:tr>
      <w:tr>
        <w:tc>
          <w:tcPr>
            <w:tcW w:type="dxa" w:w="2076"/>
          </w:tcPr>
          <w:p>
            <w:pPr>
              <w:pStyle w:val="null5"/>
              <w:jc w:val="left"/>
            </w:pPr>
            <w:r>
              <w:rPr>
                <w:rFonts w:ascii="仿宋_GB2312" w:hAnsi="仿宋_GB2312" w:cs="仿宋_GB2312" w:eastAsia="仿宋_GB2312"/>
              </w:rPr>
              <w:t>75</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荧光分光光度计</w:t>
            </w:r>
          </w:p>
        </w:tc>
        <w:tc>
          <w:tcPr>
            <w:tcW w:type="dxa" w:w="2076"/>
          </w:tcPr>
          <w:p>
            <w:pPr>
              <w:pStyle w:val="null5"/>
              <w:jc w:val="left"/>
            </w:pPr>
            <w:r>
              <w:rPr>
                <w:rFonts w:ascii="仿宋_GB2312" w:hAnsi="仿宋_GB2312" w:cs="仿宋_GB2312" w:eastAsia="仿宋_GB2312"/>
              </w:rPr>
              <w:t>24.实时微量进样系统一套：可在样品仓关闭的情况下，通过微量进样针注入试剂。也可监控注入试剂后的反应过程。无需开仓,测试过程中可随时加入样品，实时监测反应变化。</w:t>
            </w:r>
          </w:p>
        </w:tc>
      </w:tr>
      <w:tr>
        <w:tc>
          <w:tcPr>
            <w:tcW w:type="dxa" w:w="2076"/>
          </w:tcPr>
          <w:p>
            <w:pPr>
              <w:pStyle w:val="null5"/>
              <w:jc w:val="left"/>
            </w:pPr>
            <w:r>
              <w:rPr>
                <w:rFonts w:ascii="仿宋_GB2312" w:hAnsi="仿宋_GB2312" w:cs="仿宋_GB2312" w:eastAsia="仿宋_GB2312"/>
              </w:rPr>
              <w:t>76</w:t>
            </w:r>
          </w:p>
        </w:tc>
        <w:tc>
          <w:tcPr>
            <w:tcW w:type="dxa" w:w="2076"/>
          </w:tcPr>
          <w:p/>
        </w:tc>
        <w:tc>
          <w:tcPr>
            <w:tcW w:type="dxa" w:w="2076"/>
          </w:tcPr>
          <w:p>
            <w:pPr>
              <w:pStyle w:val="null5"/>
              <w:jc w:val="left"/>
            </w:pPr>
            <w:r>
              <w:rPr>
                <w:rFonts w:ascii="仿宋_GB2312" w:hAnsi="仿宋_GB2312" w:cs="仿宋_GB2312" w:eastAsia="仿宋_GB2312"/>
              </w:rPr>
              <w:t>荧光分光光度计</w:t>
            </w:r>
          </w:p>
        </w:tc>
        <w:tc>
          <w:tcPr>
            <w:tcW w:type="dxa" w:w="2076"/>
          </w:tcPr>
          <w:p>
            <w:pPr>
              <w:pStyle w:val="null5"/>
              <w:jc w:val="left"/>
            </w:pPr>
            <w:r>
              <w:rPr>
                <w:rFonts w:ascii="仿宋_GB2312" w:hAnsi="仿宋_GB2312" w:cs="仿宋_GB2312" w:eastAsia="仿宋_GB2312"/>
              </w:rPr>
              <w:t>25.配套工作站一台：操作系统：Windows简体中文专业版操作系统；CPU：四核处理器及以上；内存：≥8GB；固态硬盘≥512GB；显示器：≥24 英寸液晶显示器。</w:t>
            </w:r>
          </w:p>
        </w:tc>
      </w:tr>
      <w:tr>
        <w:tc>
          <w:tcPr>
            <w:tcW w:type="dxa" w:w="2076"/>
          </w:tcPr>
          <w:p>
            <w:pPr>
              <w:pStyle w:val="null5"/>
              <w:jc w:val="left"/>
            </w:pPr>
            <w:r>
              <w:rPr>
                <w:rFonts w:ascii="仿宋_GB2312" w:hAnsi="仿宋_GB2312" w:cs="仿宋_GB2312" w:eastAsia="仿宋_GB2312"/>
              </w:rPr>
              <w:t>77</w:t>
            </w:r>
          </w:p>
        </w:tc>
        <w:tc>
          <w:tcPr>
            <w:tcW w:type="dxa" w:w="2076"/>
          </w:tcPr>
          <w:p/>
        </w:tc>
        <w:tc>
          <w:tcPr>
            <w:tcW w:type="dxa" w:w="2076"/>
          </w:tcPr>
          <w:p>
            <w:pPr>
              <w:pStyle w:val="null5"/>
              <w:jc w:val="left"/>
            </w:pPr>
            <w:r>
              <w:rPr>
                <w:rFonts w:ascii="仿宋_GB2312" w:hAnsi="仿宋_GB2312" w:cs="仿宋_GB2312" w:eastAsia="仿宋_GB2312"/>
              </w:rPr>
              <w:t>荧光分光光度计</w:t>
            </w:r>
          </w:p>
        </w:tc>
        <w:tc>
          <w:tcPr>
            <w:tcW w:type="dxa" w:w="2076"/>
          </w:tcPr>
          <w:p>
            <w:pPr>
              <w:pStyle w:val="null5"/>
              <w:jc w:val="left"/>
            </w:pPr>
            <w:r>
              <w:rPr>
                <w:rFonts w:ascii="仿宋_GB2312" w:hAnsi="仿宋_GB2312" w:cs="仿宋_GB2312" w:eastAsia="仿宋_GB2312"/>
              </w:rPr>
              <w:t>26.主机需配套10mm标准石英比色池3对</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left"/>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后续服务</w:t>
            </w:r>
          </w:p>
        </w:tc>
        <w:tc>
          <w:tcPr>
            <w:tcW w:type="dxa" w:w="4153"/>
          </w:tcPr>
          <w:p>
            <w:pPr>
              <w:pStyle w:val="null5"/>
              <w:jc w:val="left"/>
            </w:pPr>
            <w:r>
              <w:rPr>
                <w:rFonts w:ascii="仿宋_GB2312" w:hAnsi="仿宋_GB2312" w:cs="仿宋_GB2312" w:eastAsia="仿宋_GB2312"/>
              </w:rPr>
              <w:t>1.质保期满后，供应商需免费提供终身技术咨询服务，随时解答设备操作、日常巡检、故障判断、保养常识等相关技术问题，全程不收取任何咨询费用。 2.本项目所有设备出保后：相关备品备件和耗材提供优惠价格。 3.价格锁定机制、期限及调整规则： 3.1本项目投标报价为固定综合单价，投标报价一经中标确定，合同履行期内实行价格锁定，除本文件约定调价情形外，供应商不得以原材料涨价、人工上调、市场波动、运输费用变化等任何理由提出价格上调申请。 3.2中标锁定价格包含设备制造、运输、装卸、安装、调试、检测、税费、辅材、质保、技术服务等全部费用，采购人不再另行支付其他任何费用。 3.3价格锁定有效期⾃本项⽬质保期满之⽇起3年。供应商应按照响应⽂件中承诺的专⽤耗材单价向采购⼈供应所需耗材。</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设备供货要求</w:t>
            </w:r>
          </w:p>
        </w:tc>
        <w:tc>
          <w:tcPr>
            <w:tcW w:type="dxa" w:w="4153"/>
          </w:tcPr>
          <w:p>
            <w:pPr>
              <w:pStyle w:val="null5"/>
              <w:jc w:val="left"/>
            </w:pPr>
            <w:r>
              <w:rPr>
                <w:rFonts w:ascii="仿宋_GB2312" w:hAnsi="仿宋_GB2312" w:cs="仿宋_GB2312" w:eastAsia="仿宋_GB2312"/>
              </w:rPr>
              <w:t>供应商必须严格按合同所规定的技术指标供货，货物符合规定名称、型号规格、数量或重量等。</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包装要求</w:t>
            </w:r>
          </w:p>
        </w:tc>
        <w:tc>
          <w:tcPr>
            <w:tcW w:type="dxa" w:w="4153"/>
          </w:tcPr>
          <w:p>
            <w:pPr>
              <w:pStyle w:val="null5"/>
              <w:jc w:val="left"/>
            </w:pPr>
            <w:r>
              <w:rPr>
                <w:rFonts w:ascii="仿宋_GB2312" w:hAnsi="仿宋_GB2312" w:cs="仿宋_GB2312" w:eastAsia="仿宋_GB2312"/>
              </w:rPr>
              <w:t>提供的全部货物须采用适当的保护措施进行包装并符合相应的包装标准。同时包装应适于长途运输，并有良好的防潮、防震、防锈和防野蛮装卸等保护措施，以确保货物安全运抵现场。</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质量保证</w:t>
            </w:r>
          </w:p>
        </w:tc>
        <w:tc>
          <w:tcPr>
            <w:tcW w:type="dxa" w:w="4153"/>
          </w:tcPr>
          <w:p>
            <w:pPr>
              <w:pStyle w:val="null5"/>
              <w:jc w:val="left"/>
            </w:pPr>
            <w:r>
              <w:rPr>
                <w:rFonts w:ascii="仿宋_GB2312" w:hAnsi="仿宋_GB2312" w:cs="仿宋_GB2312" w:eastAsia="仿宋_GB2312"/>
              </w:rPr>
              <w:t>货物是销售的全新、原产地、原包装、手续合法完整、渠道正规的产品，完全符合合同规定质量、规格和性能的要求。如发现货物有其它潜在缺陷及供应商使用了不符合标准要求或不符合投标书承诺的原材料、零部件、外购件，采购人有权退货或向供应商索赔。</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技术文件</w:t>
            </w:r>
          </w:p>
        </w:tc>
        <w:tc>
          <w:tcPr>
            <w:tcW w:type="dxa" w:w="4153"/>
          </w:tcPr>
          <w:p>
            <w:pPr>
              <w:pStyle w:val="null5"/>
              <w:jc w:val="left"/>
            </w:pPr>
            <w:r>
              <w:rPr>
                <w:rFonts w:ascii="仿宋_GB2312" w:hAnsi="仿宋_GB2312" w:cs="仿宋_GB2312" w:eastAsia="仿宋_GB2312"/>
              </w:rPr>
              <w:t>1.成交供应商应提供货物的备品备件手册、使用手册、安装使用指南、维护维修及保养说明书或服务手册； 2.货物的合格证、保修卡等； 3.设备的详细介绍资料； 4.提供生产厂家确认的证明材料（包括但不限于测试报告、官网和功能截图等）。</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设备安装调试要求</w:t>
            </w:r>
          </w:p>
        </w:tc>
        <w:tc>
          <w:tcPr>
            <w:tcW w:type="dxa" w:w="4153"/>
          </w:tcPr>
          <w:p>
            <w:pPr>
              <w:pStyle w:val="null5"/>
              <w:jc w:val="left"/>
            </w:pPr>
            <w:r>
              <w:rPr>
                <w:rFonts w:ascii="仿宋_GB2312" w:hAnsi="仿宋_GB2312" w:cs="仿宋_GB2312" w:eastAsia="仿宋_GB2312"/>
              </w:rPr>
              <w:t>1.供应商负责提供设备的运输、安装、调试、调换直至设备运行符合要求，产生的费用均由供应商承担。 2.在仪器安装调试验收过程中，供应商的安装工程师免费对用户操作人员进行基本培训，培训内容包括仪器结构介绍、操作软件使用、仪器操作使用、简单制样操作、智能附件及消耗品更换、日常保养及维护等。</w:t>
            </w:r>
          </w:p>
        </w:tc>
      </w:tr>
      <w:tr>
        <w:tc>
          <w:tcPr>
            <w:tcW w:type="dxa" w:w="1038"/>
          </w:tcPr>
          <w:p>
            <w:pPr>
              <w:pStyle w:val="null5"/>
              <w:jc w:val="left"/>
            </w:pPr>
            <w:r>
              <w:rPr>
                <w:rFonts w:ascii="仿宋_GB2312" w:hAnsi="仿宋_GB2312" w:cs="仿宋_GB2312" w:eastAsia="仿宋_GB2312"/>
              </w:rPr>
              <w:t>7</w:t>
            </w:r>
          </w:p>
        </w:tc>
        <w:tc>
          <w:tcPr>
            <w:tcW w:type="dxa" w:w="3115"/>
          </w:tcPr>
          <w:p>
            <w:pPr>
              <w:pStyle w:val="null5"/>
              <w:jc w:val="left"/>
            </w:pPr>
            <w:r>
              <w:rPr>
                <w:rFonts w:ascii="仿宋_GB2312" w:hAnsi="仿宋_GB2312" w:cs="仿宋_GB2312" w:eastAsia="仿宋_GB2312"/>
              </w:rPr>
              <w:t>设备售后服务要求</w:t>
            </w:r>
          </w:p>
        </w:tc>
        <w:tc>
          <w:tcPr>
            <w:tcW w:type="dxa" w:w="4153"/>
          </w:tcPr>
          <w:p>
            <w:pPr>
              <w:pStyle w:val="null5"/>
              <w:jc w:val="left"/>
            </w:pPr>
            <w:r>
              <w:rPr>
                <w:rFonts w:ascii="仿宋_GB2312" w:hAnsi="仿宋_GB2312" w:cs="仿宋_GB2312" w:eastAsia="仿宋_GB2312"/>
              </w:rPr>
              <w:t>1、设备及产品供货服务： 在设备及产品供货时，如出现不正常情况（如设备损坏、故障、达不到良好的效果、达不到技术规范或机器本身说明书的指标），供应商应在不延误项目完成时间的情况下从速免费替换。 2、保修期服务： ①在保修期内发现的由于产品本身的原因造成故障或损坏，供应商应免费修复；无法修复的应免费更换。 ②保修期内，设备及产品的维修、更换、专用耗材（红外分光光度计的保险丝和红外光源、荧光分光光度计的氙灯等）等所需一切支出（包括技术人员旅费等支出）由供应商负责。 3、保修期后服务： 保修期后，供应商应对其提供的设备及产品提供终身技术服务，器材维修、更换只向采购人收取材料成本费。 4、供应商提供7×24小时服务热线电话，设备在运行过程中出现故障，成交供应商接到报修通知后，24小时之内赶到现场，48小时内排除故障。</w:t>
            </w:r>
          </w:p>
        </w:tc>
      </w:tr>
      <w:tr>
        <w:tc>
          <w:tcPr>
            <w:tcW w:type="dxa" w:w="1038"/>
          </w:tcPr>
          <w:p>
            <w:pPr>
              <w:pStyle w:val="null5"/>
              <w:jc w:val="left"/>
            </w:pPr>
            <w:r>
              <w:rPr>
                <w:rFonts w:ascii="仿宋_GB2312" w:hAnsi="仿宋_GB2312" w:cs="仿宋_GB2312" w:eastAsia="仿宋_GB2312"/>
              </w:rPr>
              <w:t>8</w:t>
            </w:r>
          </w:p>
        </w:tc>
        <w:tc>
          <w:tcPr>
            <w:tcW w:type="dxa" w:w="3115"/>
          </w:tcPr>
          <w:p>
            <w:pPr>
              <w:pStyle w:val="null5"/>
              <w:jc w:val="left"/>
            </w:pPr>
            <w:r>
              <w:rPr>
                <w:rFonts w:ascii="仿宋_GB2312" w:hAnsi="仿宋_GB2312" w:cs="仿宋_GB2312" w:eastAsia="仿宋_GB2312"/>
              </w:rPr>
              <w:t>其它要求</w:t>
            </w:r>
          </w:p>
        </w:tc>
        <w:tc>
          <w:tcPr>
            <w:tcW w:type="dxa" w:w="4153"/>
          </w:tcPr>
          <w:p>
            <w:pPr>
              <w:pStyle w:val="null5"/>
              <w:jc w:val="left"/>
            </w:pPr>
            <w:r>
              <w:rPr>
                <w:rFonts w:ascii="仿宋_GB2312" w:hAnsi="仿宋_GB2312" w:cs="仿宋_GB2312" w:eastAsia="仿宋_GB2312"/>
              </w:rPr>
              <w:t>1、本项目的成交供应商必须负责全部设备及产品的安装调试，直至达到良好的使用效果。 2、供应商必须书面承诺所供产品均为原厂正品，不得使用任何劣货、假货等产品。</w:t>
            </w:r>
          </w:p>
        </w:tc>
      </w:tr>
    </w:tbl>
    <w:p>
      <w:pPr>
        <w:pStyle w:val="null5"/>
        <w:ind w:firstLine="480"/>
        <w:jc w:val="left"/>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合同支付方式：供应商按合同要求供货，设备安装调试完成、验收合格无质量问题及其他争议，采购人收到供应商发票后付至合同金额的95%，一年后无息付清余款。</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合同签订后30日内完成全部货物的供货、安装、调试和培训工作，符合国家标准、行业规范和合同等相关文件的要求。</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山东石油化工学院</w:t>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质保期：本项目免费质量保证期要求不低于2年，供应商亦可提报更⻓的质保期。本项目产品的质量质保期为自验收通过之日起，所有产品均需在质保期内免费上门。</w:t>
            </w:r>
          </w:p>
        </w:tc>
      </w:tr>
      <w:tr>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合同履行期限：自本项目签订合同之日起至质保期结束。</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1、本项目共两轮报价，第一轮为磋商前基础报价，第二轮报价为磋商后最终报价。 磋商小组与供应商分别进行磋商完成后，通过评标系统向实质性响应的供应商发起最终报价要求，要求所有供应商在规定时间（60分钟）内进行最终报价，提交最终报价的供应商不得少于3家（若供应商未在规定时间（60分钟）内提交最终报价，视为退出磋商）。 2、投标截止时间后，成功提交响应文件的供应商符合磋商文件规定数量的，代理机构将启动响应文件解密程序，解密时间为60分钟；供应商应在规定的解密时间内，使用加密响应文件的数字证书进行响应文件解密。除因平台系统故障导致供应商未按时完成解密外，供应商未在规定的解密时间内完成解密的，按无效投标处理。 3、报价相关要求：本项⽬报价为含税全包价，包含完成全部供货所需全部成本，采购⼈不再另⾏⽀付其他费⽤；供应商仅能提供⼀套固定报价，不得设置多套备选报价；评审中报价经修正的，供应商须按要求电⼦签章确认，逾期未确认按⽆效响应处理；报价应客观合理，触发异常低价审查时须提供成本相关佐证材料，⽆法说明合理性的作⽆效响应处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磋商过程中可实质性变动的内容</w:t>
      </w:r>
    </w:p>
    <w:p>
      <w:pPr>
        <w:pStyle w:val="null5"/>
        <w:ind w:firstLine="480"/>
        <w:jc w:val="left"/>
      </w:pPr>
      <w:r>
        <w:rPr>
          <w:rFonts w:ascii="仿宋_GB2312" w:hAnsi="仿宋_GB2312" w:cs="仿宋_GB2312" w:eastAsia="仿宋_GB2312"/>
        </w:rPr>
        <w:t>磋商小组可以根据磋商文件和磋商情况实质性变动以下内容：</w:t>
      </w:r>
    </w:p>
    <w:p>
      <w:pPr>
        <w:pStyle w:val="null5"/>
        <w:ind w:firstLine="480"/>
        <w:jc w:val="left"/>
      </w:pPr>
      <w:r>
        <w:rPr>
          <w:rFonts w:ascii="仿宋_GB2312" w:hAnsi="仿宋_GB2312" w:cs="仿宋_GB2312" w:eastAsia="仿宋_GB2312"/>
        </w:rPr>
        <w:t>一、第三章“技术、服务及其他要求”中“3.2.技术要求”，“3.3.服务要求 ”：</w:t>
      </w:r>
    </w:p>
    <w:p>
      <w:pPr>
        <w:pStyle w:val="null5"/>
        <w:ind w:firstLine="480"/>
        <w:jc w:val="left"/>
      </w:pPr>
      <w:r>
        <w:rPr>
          <w:rFonts w:ascii="仿宋_GB2312" w:hAnsi="仿宋_GB2312" w:cs="仿宋_GB2312" w:eastAsia="仿宋_GB2312"/>
          <w:sz w:val="21"/>
        </w:rPr>
        <w:t>详见第三章“技术、服务及其他要求”中“3.2.技术要求”，“3.3.服务要求 ”非带“★”实质性要求。</w:t>
      </w:r>
    </w:p>
    <w:p>
      <w:pPr>
        <w:pStyle w:val="null5"/>
        <w:ind w:firstLine="480"/>
        <w:jc w:val="left"/>
      </w:pPr>
      <w:r>
        <w:rPr>
          <w:rFonts w:ascii="仿宋_GB2312" w:hAnsi="仿宋_GB2312" w:cs="仿宋_GB2312" w:eastAsia="仿宋_GB2312"/>
        </w:rPr>
        <w:t>二、第七章“拟签订采购合同文本”：</w:t>
      </w:r>
    </w:p>
    <w:p>
      <w:pPr>
        <w:pStyle w:val="null5"/>
        <w:ind w:firstLine="480"/>
        <w:jc w:val="left"/>
      </w:pPr>
      <w:r>
        <w:rPr>
          <w:rFonts w:ascii="仿宋_GB2312" w:hAnsi="仿宋_GB2312" w:cs="仿宋_GB2312" w:eastAsia="仿宋_GB2312"/>
          <w:sz w:val="21"/>
        </w:rPr>
        <w:t>详见第七章“拟签订采购合同文本”。</w:t>
      </w:r>
    </w:p>
    <w:p>
      <w:pPr>
        <w:pStyle w:val="null5"/>
        <w:ind w:firstLine="480"/>
        <w:jc w:val="left"/>
      </w:pPr>
      <w:r>
        <w:rPr>
          <w:rFonts w:ascii="仿宋_GB2312" w:hAnsi="仿宋_GB2312" w:cs="仿宋_GB2312" w:eastAsia="仿宋_GB2312"/>
        </w:rPr>
        <w:t>除以上内容外，磋商小组不得变动磋商文件中的其他内容。</w:t>
      </w:r>
    </w:p>
    <w:p>
      <w:pPr>
        <w:pStyle w:val="null5"/>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left"/>
      </w:pPr>
      <w:r>
        <w:rPr>
          <w:rFonts w:ascii="仿宋_GB2312" w:hAnsi="仿宋_GB2312" w:cs="仿宋_GB2312" w:eastAsia="仿宋_GB2312"/>
        </w:rPr>
        <w:t>一、根据《中华人民共和国政府采购法》《中华人民共和国政府采购法实施条例》等法律制度规定， 结合本采购项目特点制定本次竞争性磋商评审办法。</w:t>
      </w:r>
    </w:p>
    <w:p>
      <w:pPr>
        <w:pStyle w:val="null5"/>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5"/>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5"/>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5"/>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5.2.磋商小组</w:t>
      </w:r>
    </w:p>
    <w:p>
      <w:pPr>
        <w:pStyle w:val="null5"/>
        <w:ind w:firstLine="480"/>
        <w:jc w:val="left"/>
      </w:pPr>
      <w:r>
        <w:rPr>
          <w:rFonts w:ascii="仿宋_GB2312" w:hAnsi="仿宋_GB2312" w:cs="仿宋_GB2312" w:eastAsia="仿宋_GB2312"/>
        </w:rPr>
        <w:t>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5"/>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5"/>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5"/>
        <w:ind w:firstLine="480"/>
        <w:jc w:val="left"/>
      </w:pPr>
      <w:r>
        <w:rPr>
          <w:rFonts w:ascii="仿宋_GB2312" w:hAnsi="仿宋_GB2312" w:cs="仿宋_GB2312" w:eastAsia="仿宋_GB2312"/>
        </w:rPr>
        <w:t>四、磋商小组应当履行下列职责：</w:t>
      </w:r>
    </w:p>
    <w:p>
      <w:pPr>
        <w:pStyle w:val="null5"/>
        <w:ind w:firstLine="480"/>
        <w:jc w:val="left"/>
      </w:pPr>
      <w:r>
        <w:rPr>
          <w:rFonts w:ascii="仿宋_GB2312" w:hAnsi="仿宋_GB2312" w:cs="仿宋_GB2312" w:eastAsia="仿宋_GB2312"/>
        </w:rPr>
        <w:t>（一）熟悉和理解磋商文件；</w:t>
      </w:r>
    </w:p>
    <w:p>
      <w:pPr>
        <w:pStyle w:val="null5"/>
        <w:ind w:firstLine="480"/>
        <w:jc w:val="left"/>
      </w:pPr>
      <w:r>
        <w:rPr>
          <w:rFonts w:ascii="仿宋_GB2312" w:hAnsi="仿宋_GB2312" w:cs="仿宋_GB2312" w:eastAsia="仿宋_GB2312"/>
        </w:rPr>
        <w:t>（二）审查、评价供应商响应文件等是否满足磋商文件要求；</w:t>
      </w:r>
    </w:p>
    <w:p>
      <w:pPr>
        <w:pStyle w:val="null5"/>
        <w:ind w:firstLine="480"/>
        <w:jc w:val="left"/>
      </w:pPr>
      <w:r>
        <w:rPr>
          <w:rFonts w:ascii="仿宋_GB2312" w:hAnsi="仿宋_GB2312" w:cs="仿宋_GB2312" w:eastAsia="仿宋_GB2312"/>
        </w:rPr>
        <w:t>（三）对响应文件进行比较和评价；</w:t>
      </w:r>
    </w:p>
    <w:p>
      <w:pPr>
        <w:pStyle w:val="null5"/>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5"/>
        <w:ind w:firstLine="480"/>
        <w:jc w:val="left"/>
      </w:pPr>
      <w:r>
        <w:rPr>
          <w:rFonts w:ascii="仿宋_GB2312" w:hAnsi="仿宋_GB2312" w:cs="仿宋_GB2312" w:eastAsia="仿宋_GB2312"/>
        </w:rPr>
        <w:t>（五）推荐成交候选供应商，或者受采购人委托确定成交供应商；</w:t>
      </w:r>
    </w:p>
    <w:p>
      <w:pPr>
        <w:pStyle w:val="null5"/>
        <w:ind w:firstLine="480"/>
        <w:jc w:val="left"/>
      </w:pPr>
      <w:r>
        <w:rPr>
          <w:rFonts w:ascii="仿宋_GB2312" w:hAnsi="仿宋_GB2312" w:cs="仿宋_GB2312" w:eastAsia="仿宋_GB2312"/>
        </w:rPr>
        <w:t>（六）起草资格审查报告、磋商报告并进行签署；</w:t>
      </w:r>
    </w:p>
    <w:p>
      <w:pPr>
        <w:pStyle w:val="null5"/>
        <w:ind w:firstLine="480"/>
        <w:jc w:val="left"/>
      </w:pPr>
      <w:r>
        <w:rPr>
          <w:rFonts w:ascii="仿宋_GB2312" w:hAnsi="仿宋_GB2312" w:cs="仿宋_GB2312" w:eastAsia="仿宋_GB2312"/>
        </w:rPr>
        <w:t>（七）向采购人、代理机构或者有关部门报告磋商中发现的违法行为；</w:t>
      </w:r>
    </w:p>
    <w:p>
      <w:pPr>
        <w:pStyle w:val="null5"/>
        <w:ind w:firstLine="480"/>
        <w:jc w:val="left"/>
      </w:pPr>
      <w:r>
        <w:rPr>
          <w:rFonts w:ascii="仿宋_GB2312" w:hAnsi="仿宋_GB2312" w:cs="仿宋_GB2312" w:eastAsia="仿宋_GB2312"/>
        </w:rPr>
        <w:t>（八）按规定告知供应商，未实质性响应磋商文件的响应文件按无效响应处理；</w:t>
      </w:r>
    </w:p>
    <w:p>
      <w:pPr>
        <w:pStyle w:val="null5"/>
        <w:ind w:firstLine="480"/>
        <w:jc w:val="left"/>
      </w:pPr>
      <w:r>
        <w:rPr>
          <w:rFonts w:ascii="仿宋_GB2312" w:hAnsi="仿宋_GB2312" w:cs="仿宋_GB2312" w:eastAsia="仿宋_GB2312"/>
        </w:rPr>
        <w:t>（九）法律、法规和规章规定的其他职责。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left"/>
      </w:pPr>
      <w:r>
        <w:rPr>
          <w:rFonts w:ascii="仿宋_GB2312" w:hAnsi="仿宋_GB2312" w:cs="仿宋_GB2312" w:eastAsia="仿宋_GB2312"/>
        </w:rPr>
        <w:t>5.3.1.熟悉和理解磋商文件</w:t>
      </w:r>
    </w:p>
    <w:p>
      <w:pPr>
        <w:pStyle w:val="null5"/>
        <w:ind w:firstLine="480"/>
        <w:jc w:val="both"/>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5"/>
        <w:ind w:firstLine="480"/>
        <w:jc w:val="left"/>
      </w:pPr>
      <w:r>
        <w:rPr>
          <w:rFonts w:ascii="仿宋_GB2312" w:hAnsi="仿宋_GB2312" w:cs="仿宋_GB2312" w:eastAsia="仿宋_GB2312"/>
        </w:rPr>
        <w:t>5.3.2.停止评审的情形</w:t>
      </w:r>
    </w:p>
    <w:p>
      <w:pPr>
        <w:pStyle w:val="null5"/>
        <w:ind w:firstLine="480"/>
        <w:jc w:val="left"/>
      </w:pPr>
      <w:r>
        <w:rPr>
          <w:rFonts w:ascii="仿宋_GB2312" w:hAnsi="仿宋_GB2312" w:cs="仿宋_GB2312" w:eastAsia="仿宋_GB2312"/>
        </w:rPr>
        <w:t>本磋商文件有下列情形之一的，磋商小组应当停止评审：</w:t>
      </w:r>
    </w:p>
    <w:p>
      <w:pPr>
        <w:pStyle w:val="null5"/>
        <w:ind w:firstLine="480"/>
        <w:jc w:val="left"/>
      </w:pPr>
      <w:r>
        <w:rPr>
          <w:rFonts w:ascii="仿宋_GB2312" w:hAnsi="仿宋_GB2312" w:cs="仿宋_GB2312" w:eastAsia="仿宋_GB2312"/>
        </w:rPr>
        <w:t>一、磋商文件的规定存在歧义、重大缺陷，导致评审工作无法进行的；</w:t>
      </w:r>
    </w:p>
    <w:p>
      <w:pPr>
        <w:pStyle w:val="null5"/>
        <w:ind w:firstLine="480"/>
        <w:jc w:val="left"/>
      </w:pPr>
      <w:r>
        <w:rPr>
          <w:rFonts w:ascii="仿宋_GB2312" w:hAnsi="仿宋_GB2312" w:cs="仿宋_GB2312" w:eastAsia="仿宋_GB2312"/>
        </w:rPr>
        <w:t>二、磋商文件明显以不合理条件对供应商实行差别待遇或者歧视待遇的；</w:t>
      </w:r>
    </w:p>
    <w:p>
      <w:pPr>
        <w:pStyle w:val="null5"/>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5"/>
        <w:ind w:firstLine="480"/>
        <w:jc w:val="left"/>
      </w:pPr>
      <w:r>
        <w:rPr>
          <w:rFonts w:ascii="仿宋_GB2312" w:hAnsi="仿宋_GB2312" w:cs="仿宋_GB2312" w:eastAsia="仿宋_GB2312"/>
        </w:rPr>
        <w:t>四、采购项目属于政府采购促进中小企业发展的范围，但是竞争性磋商文件未依法体现促进中小企业发展相关规定的；</w:t>
      </w:r>
    </w:p>
    <w:p>
      <w:pPr>
        <w:pStyle w:val="null5"/>
        <w:ind w:firstLine="480"/>
        <w:jc w:val="left"/>
      </w:pPr>
      <w:r>
        <w:rPr>
          <w:rFonts w:ascii="仿宋_GB2312" w:hAnsi="仿宋_GB2312" w:cs="仿宋_GB2312" w:eastAsia="仿宋_GB2312"/>
        </w:rPr>
        <w:t>五、磋商文件将供应商的资格条件列为评分因素的；</w:t>
      </w:r>
    </w:p>
    <w:p>
      <w:pPr>
        <w:pStyle w:val="null5"/>
        <w:ind w:firstLine="480"/>
        <w:jc w:val="left"/>
      </w:pPr>
      <w:r>
        <w:rPr>
          <w:rFonts w:ascii="仿宋_GB2312" w:hAnsi="仿宋_GB2312" w:cs="仿宋_GB2312" w:eastAsia="仿宋_GB2312"/>
        </w:rPr>
        <w:t>六、磋商文件载明的成交原则不合法的；</w:t>
      </w:r>
    </w:p>
    <w:p>
      <w:pPr>
        <w:pStyle w:val="null5"/>
        <w:ind w:firstLine="480"/>
        <w:jc w:val="left"/>
      </w:pPr>
      <w:r>
        <w:rPr>
          <w:rFonts w:ascii="仿宋_GB2312" w:hAnsi="仿宋_GB2312" w:cs="仿宋_GB2312" w:eastAsia="仿宋_GB2312"/>
        </w:rPr>
        <w:t>七、磋商文件有违反国家其他有关强制性规定的情形。</w:t>
      </w:r>
    </w:p>
    <w:p>
      <w:pPr>
        <w:pStyle w:val="null5"/>
        <w:ind w:firstLine="480"/>
        <w:jc w:val="both"/>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5"/>
        <w:ind w:firstLine="480"/>
        <w:jc w:val="both"/>
      </w:pPr>
      <w:r>
        <w:rPr>
          <w:rFonts w:ascii="仿宋_GB2312" w:hAnsi="仿宋_GB2312" w:cs="仿宋_GB2312" w:eastAsia="仿宋_GB2312"/>
        </w:rPr>
        <w:t>出现上述应当停止评审情形的，代理机构应当将停止评审的情形和具体原因通过交易系统告知参加采购活动的供应商，并在“中国山东政府采购网”公告。采购人、代理机构认为磋商小组不应当停止评审的，可以书面报告采购项目同级财政部门依法处理，并提供相关证明材料。</w:t>
      </w:r>
    </w:p>
    <w:p>
      <w:pPr>
        <w:pStyle w:val="null5"/>
        <w:ind w:firstLine="480"/>
        <w:jc w:val="left"/>
      </w:pPr>
      <w:r>
        <w:rPr>
          <w:rFonts w:ascii="仿宋_GB2312" w:hAnsi="仿宋_GB2312" w:cs="仿宋_GB2312" w:eastAsia="仿宋_GB2312"/>
        </w:rPr>
        <w:t>5.3.3.资格审查</w:t>
      </w:r>
    </w:p>
    <w:p>
      <w:pPr>
        <w:pStyle w:val="null5"/>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5"/>
        <w:ind w:firstLine="480"/>
        <w:jc w:val="left"/>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供应商具有独立承担民事责任的能力</w:t>
            </w:r>
          </w:p>
        </w:tc>
        <w:tc>
          <w:tcPr>
            <w:tcW w:type="dxa" w:w="3322"/>
          </w:tcPr>
          <w:p>
            <w:pPr>
              <w:pStyle w:val="null5"/>
              <w:jc w:val="left"/>
            </w:pPr>
            <w:r>
              <w:rPr>
                <w:rFonts w:ascii="仿宋_GB2312" w:hAnsi="仿宋_GB2312" w:cs="仿宋_GB2312" w:eastAsia="仿宋_GB2312"/>
              </w:rPr>
              <w:t>提供有效的营业执照或者事业单位法人证书或者民办非企业单位、社会团体法人等的登记证书等证明文件或者自然人的身份证明（自然人身份证明仅在自然人作为投标主体时适用）。（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供应商具有良好的商业信誉和健全的财务会计制度</w:t>
            </w:r>
          </w:p>
        </w:tc>
        <w:tc>
          <w:tcPr>
            <w:tcW w:type="dxa" w:w="3322"/>
          </w:tcPr>
          <w:p>
            <w:pPr>
              <w:pStyle w:val="null5"/>
              <w:jc w:val="left"/>
            </w:pPr>
            <w:r>
              <w:rPr>
                <w:rFonts w:ascii="仿宋_GB2312" w:hAnsi="仿宋_GB2312" w:cs="仿宋_GB2312" w:eastAsia="仿宋_GB2312"/>
              </w:rPr>
              <w:t>提供2025年度由有法定资格的中介机构出具的财务审计报告。供应商未提供财务审计报告的，应当提供基本开户银行出具的资信证明，中小企业可提供财政部门认可的政府采购专业担保机构出具的投标担保函。（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供应商具有履行合同所必需的设备和专业技术能力</w:t>
            </w:r>
          </w:p>
        </w:tc>
        <w:tc>
          <w:tcPr>
            <w:tcW w:type="dxa" w:w="3322"/>
          </w:tcPr>
          <w:p>
            <w:pPr>
              <w:pStyle w:val="null5"/>
              <w:jc w:val="left"/>
            </w:pPr>
            <w:r>
              <w:rPr>
                <w:rFonts w:ascii="仿宋_GB2312" w:hAnsi="仿宋_GB2312" w:cs="仿宋_GB2312" w:eastAsia="仿宋_GB2312"/>
              </w:rPr>
              <w:t>履行本项目合同所必需的设备和专业技术能力的证明。（提供原件扫描件或复印件加盖公章）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供应商具有依法缴纳税收和社会保障资金的良好记录</w:t>
            </w:r>
          </w:p>
        </w:tc>
        <w:tc>
          <w:tcPr>
            <w:tcW w:type="dxa" w:w="3322"/>
          </w:tcPr>
          <w:p>
            <w:pPr>
              <w:pStyle w:val="null5"/>
              <w:jc w:val="left"/>
            </w:pPr>
            <w:r>
              <w:rPr>
                <w:rFonts w:ascii="仿宋_GB2312" w:hAnsi="仿宋_GB2312" w:cs="仿宋_GB2312" w:eastAsia="仿宋_GB2312"/>
              </w:rPr>
              <w:t>（1）提供依法缴纳近半年内任意一个月税收的凭据（或纳税申报）或依法缴纳税收和社会保障资金承诺函；（2）提供依法缴纳近半年内任意一个月社会保险的凭据或依法缴纳税收和社会保障资金承诺函；（3）依法免税或不需要缴纳社会保险的供应商，应提供相应文件证明其依法免税或不需要缴纳社会保险。注：（1）在山东省境内注册的供应商参与本项目，且可通过“中国山东政府采购网”查询缴纳税收和社会保障资金信息的，可在响应文件中提供《依法缴纳税收和社会保障资金承诺函》。供应商可登录“中国山东政府采购网”(www.ccgp-shandong.gov.cn)，在“开评标管理”栏目中查询本单位在山东省缴纳税收和社会保障资金的情况。（2）以下情形不适用提供《依法缴纳税收和社会保障资金承诺函》，应按照竞争性磋商文件要求提供相关证明材料。①供应商登录“中国山东政府采购网”查询缴纳税收和社会保障资金信息反馈无相关信息的。②依法免税或不需要缴纳社会保障资金的。③未在山东省内缴纳税收和社会保障资金的供应商。④其他不适用依法缴纳税收和社会保障资金承诺制的情形。（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供应商参加政府采购活动前三年内，在经营活动中没有重大违法记录</w:t>
            </w:r>
          </w:p>
        </w:tc>
        <w:tc>
          <w:tcPr>
            <w:tcW w:type="dxa" w:w="3322"/>
          </w:tcPr>
          <w:p>
            <w:pPr>
              <w:pStyle w:val="null5"/>
              <w:jc w:val="left"/>
            </w:pPr>
            <w:r>
              <w:rPr>
                <w:rFonts w:ascii="仿宋_GB2312" w:hAnsi="仿宋_GB2312" w:cs="仿宋_GB2312" w:eastAsia="仿宋_GB2312"/>
              </w:rPr>
              <w:t>参加本次政府采购活动前近三年内在经营活动中没有重大违法记录的书面声明函。（提供原件扫描件或复印件加盖公章）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供应商无不良信用记录</w:t>
            </w:r>
          </w:p>
        </w:tc>
        <w:tc>
          <w:tcPr>
            <w:tcW w:type="dxa" w:w="3322"/>
          </w:tcPr>
          <w:p>
            <w:pPr>
              <w:pStyle w:val="null5"/>
              <w:jc w:val="left"/>
            </w:pPr>
            <w:r>
              <w:rPr>
                <w:rFonts w:ascii="仿宋_GB2312" w:hAnsi="仿宋_GB2312" w:cs="仿宋_GB2312" w:eastAsia="仿宋_GB2312"/>
              </w:rPr>
              <w:t>未被列入信用中国网站（www.creditchina.gov.cn）、中国政府采购网（www.ccgp.gov.cn）渠道信用记录失信被执行人、重大税收违法案件当事人名单、政府采购严重违法失信行为记录名单。本项由采购代理机构现场核查。</w:t>
            </w:r>
          </w:p>
        </w:tc>
        <w:tc>
          <w:tcPr>
            <w:tcW w:type="dxa" w:w="1661"/>
          </w:tcPr>
          <w:p>
            <w:pPr>
              <w:pStyle w:val="null5"/>
              <w:jc w:val="left"/>
            </w:pPr>
            <w:r>
              <w:rPr>
                <w:rFonts w:ascii="仿宋_GB2312" w:hAnsi="仿宋_GB2312" w:cs="仿宋_GB2312" w:eastAsia="仿宋_GB2312"/>
              </w:rPr>
              <w:t>资格证明文件</w:t>
            </w:r>
          </w:p>
        </w:tc>
      </w:tr>
    </w:tbl>
    <w:p>
      <w:pPr>
        <w:pStyle w:val="null5"/>
        <w:ind w:firstLine="480"/>
        <w:jc w:val="left"/>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本采购包属于专门面向中小企业采购。</w:t>
            </w:r>
          </w:p>
        </w:tc>
        <w:tc>
          <w:tcPr>
            <w:tcW w:type="dxa" w:w="3322"/>
          </w:tcPr>
          <w:p>
            <w:pPr>
              <w:pStyle w:val="null5"/>
              <w:jc w:val="left"/>
            </w:pPr>
            <w:r>
              <w:rPr>
                <w:rFonts w:ascii="仿宋_GB2312" w:hAnsi="仿宋_GB2312" w:cs="仿宋_GB2312" w:eastAsia="仿宋_GB2312"/>
              </w:rPr>
              <w:t>本采购包为专门面向中小企业采购，供应商须提供中小企业声明函或监狱企业的证明文件或残疾人福利性单位声明函。监狱企业、残疾人福利性单位视同小型、微型企业。</w:t>
            </w:r>
          </w:p>
        </w:tc>
        <w:tc>
          <w:tcPr>
            <w:tcW w:type="dxa" w:w="1661"/>
          </w:tcPr>
          <w:p>
            <w:pPr>
              <w:pStyle w:val="null5"/>
              <w:jc w:val="left"/>
            </w:pPr>
            <w:r>
              <w:rPr>
                <w:rFonts w:ascii="仿宋_GB2312" w:hAnsi="仿宋_GB2312" w:cs="仿宋_GB2312" w:eastAsia="仿宋_GB2312"/>
              </w:rPr>
              <w:t>资格证明文件</w:t>
            </w:r>
          </w:p>
        </w:tc>
      </w:tr>
    </w:tbl>
    <w:p>
      <w:pPr>
        <w:pStyle w:val="null5"/>
        <w:ind w:firstLine="480"/>
        <w:jc w:val="left"/>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5.3.4.符合性审查</w:t>
      </w:r>
    </w:p>
    <w:p>
      <w:pPr>
        <w:pStyle w:val="null5"/>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5"/>
        <w:ind w:firstLine="480"/>
        <w:jc w:val="both"/>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5"/>
        <w:ind w:firstLine="480"/>
        <w:jc w:val="left"/>
      </w:pPr>
      <w:r>
        <w:rPr>
          <w:rFonts w:ascii="仿宋_GB2312" w:hAnsi="仿宋_GB2312" w:cs="仿宋_GB2312" w:eastAsia="仿宋_GB2312"/>
        </w:rPr>
        <w:t>符合性审查标准见下表：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是否按磋商文件规定要求签署、盖章</w:t>
            </w:r>
          </w:p>
        </w:tc>
        <w:tc>
          <w:tcPr>
            <w:tcW w:type="dxa" w:w="3322"/>
          </w:tcPr>
          <w:p>
            <w:pPr>
              <w:pStyle w:val="null5"/>
              <w:jc w:val="left"/>
            </w:pPr>
            <w:r>
              <w:rPr>
                <w:rFonts w:ascii="仿宋_GB2312" w:hAnsi="仿宋_GB2312" w:cs="仿宋_GB2312" w:eastAsia="仿宋_GB2312"/>
              </w:rPr>
              <w:t>按磋商文件规定要求签署、盖章</w:t>
            </w:r>
          </w:p>
        </w:tc>
        <w:tc>
          <w:tcPr>
            <w:tcW w:type="dxa" w:w="1661"/>
          </w:tcPr>
          <w:p>
            <w:pPr>
              <w:pStyle w:val="null5"/>
              <w:jc w:val="left"/>
            </w:pPr>
            <w:r>
              <w:rPr>
                <w:rFonts w:ascii="仿宋_GB2312" w:hAnsi="仿宋_GB2312" w:cs="仿宋_GB2312" w:eastAsia="仿宋_GB2312"/>
              </w:rPr>
              <w:t>资格证明文件、技术偏离表、投标（响应）报价明细表、开标（报价）一览表、商务偏离表、封面、响应函、不参与串通投标承诺书、法定代表人身份证明、法定代表人授权委托书</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带“★”号部分任意一款是否满足要求</w:t>
            </w:r>
          </w:p>
        </w:tc>
        <w:tc>
          <w:tcPr>
            <w:tcW w:type="dxa" w:w="3322"/>
          </w:tcPr>
          <w:p>
            <w:pPr>
              <w:pStyle w:val="null5"/>
              <w:jc w:val="left"/>
            </w:pPr>
            <w:r>
              <w:rPr>
                <w:rFonts w:ascii="仿宋_GB2312" w:hAnsi="仿宋_GB2312" w:cs="仿宋_GB2312" w:eastAsia="仿宋_GB2312"/>
              </w:rPr>
              <w:t>带“★”号部分任意一款满足要求</w:t>
            </w:r>
          </w:p>
        </w:tc>
        <w:tc>
          <w:tcPr>
            <w:tcW w:type="dxa" w:w="1661"/>
          </w:tcPr>
          <w:p>
            <w:pPr>
              <w:pStyle w:val="null5"/>
              <w:jc w:val="left"/>
            </w:pPr>
            <w:r>
              <w:rPr>
                <w:rFonts w:ascii="仿宋_GB2312" w:hAnsi="仿宋_GB2312" w:cs="仿宋_GB2312" w:eastAsia="仿宋_GB2312"/>
              </w:rPr>
              <w:t>商务偏离表</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报价有效期是否满足磋商文件要求</w:t>
            </w:r>
          </w:p>
        </w:tc>
        <w:tc>
          <w:tcPr>
            <w:tcW w:type="dxa" w:w="3322"/>
          </w:tcPr>
          <w:p>
            <w:pPr>
              <w:pStyle w:val="null5"/>
              <w:jc w:val="left"/>
            </w:pPr>
            <w:r>
              <w:rPr>
                <w:rFonts w:ascii="仿宋_GB2312" w:hAnsi="仿宋_GB2312" w:cs="仿宋_GB2312" w:eastAsia="仿宋_GB2312"/>
              </w:rPr>
              <w:t>报价有效期满足磋商文件要求</w:t>
            </w:r>
          </w:p>
        </w:tc>
        <w:tc>
          <w:tcPr>
            <w:tcW w:type="dxa" w:w="1661"/>
          </w:tcPr>
          <w:p>
            <w:pPr>
              <w:pStyle w:val="null5"/>
              <w:jc w:val="left"/>
            </w:pPr>
            <w:r>
              <w:rPr>
                <w:rFonts w:ascii="仿宋_GB2312" w:hAnsi="仿宋_GB2312" w:cs="仿宋_GB2312" w:eastAsia="仿宋_GB2312"/>
              </w:rPr>
              <w:t>响应函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报价是否超过磋商文件中规定的预算金额或者最高限价的</w:t>
            </w:r>
          </w:p>
        </w:tc>
        <w:tc>
          <w:tcPr>
            <w:tcW w:type="dxa" w:w="3322"/>
          </w:tcPr>
          <w:p>
            <w:pPr>
              <w:pStyle w:val="null5"/>
              <w:jc w:val="left"/>
            </w:pPr>
            <w:r>
              <w:rPr>
                <w:rFonts w:ascii="仿宋_GB2312" w:hAnsi="仿宋_GB2312" w:cs="仿宋_GB2312" w:eastAsia="仿宋_GB2312"/>
              </w:rPr>
              <w:t>报价未超过磋商文件中规定的预算金额或者最高限价的</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是否按照磋商文件规定报价、是否存在拒绝报价、多个报价、选择性报价、附有条件的报价或者拒绝修正报价的</w:t>
            </w:r>
          </w:p>
        </w:tc>
        <w:tc>
          <w:tcPr>
            <w:tcW w:type="dxa" w:w="3322"/>
          </w:tcPr>
          <w:p>
            <w:pPr>
              <w:pStyle w:val="null5"/>
              <w:jc w:val="left"/>
            </w:pPr>
            <w:r>
              <w:rPr>
                <w:rFonts w:ascii="仿宋_GB2312" w:hAnsi="仿宋_GB2312" w:cs="仿宋_GB2312" w:eastAsia="仿宋_GB2312"/>
              </w:rPr>
              <w:t>按照磋商文件规定报价、不存在拒绝报价、多个报价、选择性报价、附有条件的报价或者拒绝修正报价的</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响应函、不参与串通投标承诺书、法定代表人身份证明、法定代表人授权委托书（委托代理人的须提供）、投标（响应）报价明细表、开标（报价）一览表、商务偏离表、技术偏离表、产品均为原厂正品承诺函</w:t>
            </w:r>
          </w:p>
        </w:tc>
        <w:tc>
          <w:tcPr>
            <w:tcW w:type="dxa" w:w="1661"/>
          </w:tcPr>
          <w:p>
            <w:pPr>
              <w:pStyle w:val="null5"/>
              <w:jc w:val="left"/>
            </w:pPr>
            <w:r>
              <w:rPr>
                <w:rFonts w:ascii="仿宋_GB2312" w:hAnsi="仿宋_GB2312" w:cs="仿宋_GB2312" w:eastAsia="仿宋_GB2312"/>
              </w:rPr>
              <w:t>技术偏离表、投标（响应）报价明细表、开标（报价）一览表、商务偏离表、产品均为原厂正品承诺函、响应函、不参与串通投标承诺书、法定代表人身份证明、法定代表人授权委托书</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是否属于串通投标，或者依法被视为串通投标</w:t>
            </w:r>
          </w:p>
        </w:tc>
        <w:tc>
          <w:tcPr>
            <w:tcW w:type="dxa" w:w="3322"/>
          </w:tcPr>
          <w:p>
            <w:pPr>
              <w:pStyle w:val="null5"/>
              <w:jc w:val="left"/>
            </w:pPr>
            <w:r>
              <w:rPr>
                <w:rFonts w:ascii="仿宋_GB2312" w:hAnsi="仿宋_GB2312" w:cs="仿宋_GB2312" w:eastAsia="仿宋_GB2312"/>
              </w:rPr>
              <w:t>不属于串通投标，或者依法被视为串通投标</w:t>
            </w:r>
          </w:p>
        </w:tc>
        <w:tc>
          <w:tcPr>
            <w:tcW w:type="dxa" w:w="1661"/>
          </w:tcPr>
          <w:p>
            <w:pPr>
              <w:pStyle w:val="null5"/>
              <w:jc w:val="left"/>
            </w:pPr>
            <w:r>
              <w:rPr>
                <w:rFonts w:ascii="仿宋_GB2312" w:hAnsi="仿宋_GB2312" w:cs="仿宋_GB2312" w:eastAsia="仿宋_GB2312"/>
              </w:rPr>
              <w:t>不参与串通投标承诺书</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⽆认定为“投标（响应）⽆效”的其他情形</w:t>
            </w:r>
          </w:p>
        </w:tc>
        <w:tc>
          <w:tcPr>
            <w:tcW w:type="dxa" w:w="3322"/>
          </w:tcPr>
          <w:p>
            <w:pPr>
              <w:pStyle w:val="null5"/>
              <w:jc w:val="left"/>
            </w:pPr>
            <w:r>
              <w:rPr>
                <w:rFonts w:ascii="仿宋_GB2312" w:hAnsi="仿宋_GB2312" w:cs="仿宋_GB2312" w:eastAsia="仿宋_GB2312"/>
              </w:rPr>
              <w:t>⽆认定为“投标（响应）⽆效”的其他情形</w:t>
            </w:r>
          </w:p>
        </w:tc>
        <w:tc>
          <w:tcPr>
            <w:tcW w:type="dxa" w:w="1661"/>
          </w:tcPr>
          <w:p>
            <w:pPr>
              <w:pStyle w:val="null5"/>
              <w:jc w:val="left"/>
            </w:pPr>
            <w:r>
              <w:rPr>
                <w:rFonts w:ascii="仿宋_GB2312" w:hAnsi="仿宋_GB2312" w:cs="仿宋_GB2312" w:eastAsia="仿宋_GB2312"/>
              </w:rPr>
              <w:t>封面</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政府采购异常低价审查</w:t>
            </w:r>
          </w:p>
        </w:tc>
        <w:tc>
          <w:tcPr>
            <w:tcW w:type="dxa" w:w="3322"/>
          </w:tcPr>
          <w:p>
            <w:pPr>
              <w:pStyle w:val="null5"/>
              <w:jc w:val="left"/>
            </w:pPr>
            <w:r>
              <w:rPr>
                <w:rFonts w:ascii="仿宋_GB2312" w:hAnsi="仿宋_GB2312" w:cs="仿宋_GB2312" w:eastAsia="仿宋_GB2312"/>
              </w:rPr>
              <w:t>启动异常低价投标审查后，供应商不能提供书面说明、证明材料，或者提供的书面说明、证明材料不能证明其报价合理性的</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响应文件是否含有采购人不能接受的附加条件的</w:t>
            </w:r>
          </w:p>
        </w:tc>
        <w:tc>
          <w:tcPr>
            <w:tcW w:type="dxa" w:w="3322"/>
          </w:tcPr>
          <w:p>
            <w:pPr>
              <w:pStyle w:val="null5"/>
              <w:jc w:val="left"/>
            </w:pPr>
            <w:r>
              <w:rPr>
                <w:rFonts w:ascii="仿宋_GB2312" w:hAnsi="仿宋_GB2312" w:cs="仿宋_GB2312" w:eastAsia="仿宋_GB2312"/>
              </w:rPr>
              <w:t>响应文件不含有采购人不能接受的附加条件的</w:t>
            </w:r>
          </w:p>
        </w:tc>
        <w:tc>
          <w:tcPr>
            <w:tcW w:type="dxa" w:w="1661"/>
          </w:tcPr>
          <w:p>
            <w:pPr>
              <w:pStyle w:val="null5"/>
              <w:jc w:val="left"/>
            </w:pPr>
            <w:r>
              <w:rPr>
                <w:rFonts w:ascii="仿宋_GB2312" w:hAnsi="仿宋_GB2312" w:cs="仿宋_GB2312" w:eastAsia="仿宋_GB2312"/>
              </w:rPr>
              <w:t>货物清单（包括产品彩页等）、供应商认为需要提交的其他文件、企业基本概况</w:t>
            </w:r>
          </w:p>
        </w:tc>
      </w:tr>
      <w:tr>
        <w:tc>
          <w:tcPr>
            <w:tcW w:type="dxa" w:w="831"/>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符合采购⽂件及法律、法规规定的其他情形</w:t>
            </w:r>
          </w:p>
        </w:tc>
        <w:tc>
          <w:tcPr>
            <w:tcW w:type="dxa" w:w="3322"/>
          </w:tcPr>
          <w:p>
            <w:pPr>
              <w:pStyle w:val="null5"/>
              <w:jc w:val="left"/>
            </w:pPr>
            <w:r>
              <w:rPr>
                <w:rFonts w:ascii="仿宋_GB2312" w:hAnsi="仿宋_GB2312" w:cs="仿宋_GB2312" w:eastAsia="仿宋_GB2312"/>
              </w:rPr>
              <w:t>符合采购⽂件及法律、法规规定的其他情形</w:t>
            </w:r>
          </w:p>
        </w:tc>
        <w:tc>
          <w:tcPr>
            <w:tcW w:type="dxa" w:w="1661"/>
          </w:tcPr>
          <w:p>
            <w:pPr>
              <w:pStyle w:val="null5"/>
              <w:jc w:val="left"/>
            </w:pPr>
            <w:r>
              <w:rPr>
                <w:rFonts w:ascii="仿宋_GB2312" w:hAnsi="仿宋_GB2312" w:cs="仿宋_GB2312" w:eastAsia="仿宋_GB2312"/>
              </w:rPr>
              <w:t>封面</w:t>
            </w:r>
          </w:p>
        </w:tc>
      </w:tr>
    </w:tbl>
    <w:p>
      <w:pPr>
        <w:pStyle w:val="null5"/>
        <w:ind w:firstLine="480"/>
        <w:jc w:val="both"/>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5"/>
        <w:ind w:firstLine="480"/>
        <w:jc w:val="left"/>
      </w:pPr>
      <w:r>
        <w:rPr>
          <w:rFonts w:ascii="仿宋_GB2312" w:hAnsi="仿宋_GB2312" w:cs="仿宋_GB2312" w:eastAsia="仿宋_GB2312"/>
        </w:rPr>
        <w:t>5.3.5.磋商</w:t>
      </w:r>
    </w:p>
    <w:p>
      <w:pPr>
        <w:pStyle w:val="null5"/>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5"/>
        <w:ind w:firstLine="480"/>
        <w:jc w:val="left"/>
      </w:pPr>
      <w:r>
        <w:rPr>
          <w:rFonts w:ascii="仿宋_GB2312" w:hAnsi="仿宋_GB2312" w:cs="仿宋_GB2312" w:eastAsia="仿宋_GB2312"/>
        </w:rPr>
        <w:t>二、磋商小组所有成员集中与所有供应商对技术、服务、合同条款等内容分别进行一轮或多轮的磋商。</w:t>
      </w:r>
    </w:p>
    <w:p>
      <w:pPr>
        <w:pStyle w:val="null5"/>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5"/>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5"/>
        <w:ind w:firstLine="480"/>
        <w:jc w:val="left"/>
      </w:pPr>
      <w:r>
        <w:rPr>
          <w:rFonts w:ascii="仿宋_GB2312" w:hAnsi="仿宋_GB2312" w:cs="仿宋_GB2312" w:eastAsia="仿宋_GB2312"/>
        </w:rPr>
        <w:t>五、磋商过程中，供应商可以根据磋商情况变更其响应文件，并将明确内容以“供应商响应表”形式在线提交磋商小组。“供应商响应表”作为响应文件的一部分，应加盖供应商（法定名称）电子印章，否则无效。</w:t>
      </w:r>
    </w:p>
    <w:p>
      <w:pPr>
        <w:pStyle w:val="null5"/>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5"/>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5"/>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5"/>
        <w:ind w:firstLine="480"/>
        <w:jc w:val="left"/>
      </w:pPr>
      <w:r>
        <w:rPr>
          <w:rFonts w:ascii="仿宋_GB2312" w:hAnsi="仿宋_GB2312" w:cs="仿宋_GB2312" w:eastAsia="仿宋_GB2312"/>
        </w:rPr>
        <w:t>5.3.6.最后报价</w:t>
      </w:r>
    </w:p>
    <w:p>
      <w:pPr>
        <w:pStyle w:val="null5"/>
        <w:ind w:firstLine="480"/>
        <w:jc w:val="left"/>
      </w:pPr>
      <w:r>
        <w:rPr>
          <w:rFonts w:ascii="仿宋_GB2312" w:hAnsi="仿宋_GB2312" w:cs="仿宋_GB2312" w:eastAsia="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pPr>
        <w:pStyle w:val="null5"/>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5"/>
        <w:ind w:firstLine="480"/>
        <w:jc w:val="left"/>
      </w:pPr>
      <w:r>
        <w:rPr>
          <w:rFonts w:ascii="仿宋_GB2312" w:hAnsi="仿宋_GB2312" w:cs="仿宋_GB2312" w:eastAsia="仿宋_GB2312"/>
        </w:rPr>
        <w:t>二、供应商未按磋商小组要求在规定时间内提交报价的，视为无效响应，由供应商自行承担不利后果。</w:t>
      </w:r>
    </w:p>
    <w:p>
      <w:pPr>
        <w:pStyle w:val="null5"/>
        <w:ind w:firstLine="480"/>
        <w:jc w:val="left"/>
      </w:pPr>
      <w:r>
        <w:rPr>
          <w:rFonts w:ascii="仿宋_GB2312" w:hAnsi="仿宋_GB2312" w:cs="仿宋_GB2312" w:eastAsia="仿宋_GB2312"/>
        </w:rPr>
        <w:t>三、最后报价提交后，供应商不得以任何理由撤回。</w:t>
      </w:r>
    </w:p>
    <w:p>
      <w:pPr>
        <w:pStyle w:val="null5"/>
        <w:ind w:firstLine="480"/>
        <w:jc w:val="left"/>
      </w:pPr>
      <w:r>
        <w:rPr>
          <w:rFonts w:ascii="仿宋_GB2312" w:hAnsi="仿宋_GB2312" w:cs="仿宋_GB2312" w:eastAsia="仿宋_GB2312"/>
        </w:rPr>
        <w:t>四、最后报价为有效报价应符合下列条件：</w:t>
      </w:r>
    </w:p>
    <w:p>
      <w:pPr>
        <w:pStyle w:val="null5"/>
        <w:ind w:firstLine="480"/>
        <w:jc w:val="left"/>
      </w:pPr>
      <w:r>
        <w:rPr>
          <w:rFonts w:ascii="仿宋_GB2312" w:hAnsi="仿宋_GB2312" w:cs="仿宋_GB2312" w:eastAsia="仿宋_GB2312"/>
        </w:rPr>
        <w:t>（一）供应商所提供的最后报价是在规定的时间内提交。</w:t>
      </w:r>
    </w:p>
    <w:p>
      <w:pPr>
        <w:pStyle w:val="null5"/>
        <w:ind w:firstLine="480"/>
        <w:jc w:val="left"/>
      </w:pPr>
      <w:r>
        <w:rPr>
          <w:rFonts w:ascii="仿宋_GB2312" w:hAnsi="仿宋_GB2312" w:cs="仿宋_GB2312" w:eastAsia="仿宋_GB2312"/>
        </w:rPr>
        <w:t>（二）供应商的最后报价应加盖供应商（法定名称）电子印章。</w:t>
      </w:r>
    </w:p>
    <w:p>
      <w:pPr>
        <w:pStyle w:val="null5"/>
        <w:ind w:firstLine="480"/>
        <w:jc w:val="left"/>
      </w:pPr>
      <w:r>
        <w:rPr>
          <w:rFonts w:ascii="仿宋_GB2312" w:hAnsi="仿宋_GB2312" w:cs="仿宋_GB2312" w:eastAsia="仿宋_GB2312"/>
        </w:rPr>
        <w:t>（三）供应商的最后报价应符合磋商文件的要求。</w:t>
      </w:r>
    </w:p>
    <w:p>
      <w:pPr>
        <w:pStyle w:val="null5"/>
        <w:ind w:firstLine="480"/>
        <w:jc w:val="left"/>
      </w:pPr>
      <w:r>
        <w:rPr>
          <w:rFonts w:ascii="仿宋_GB2312" w:hAnsi="仿宋_GB2312" w:cs="仿宋_GB2312" w:eastAsia="仿宋_GB2312"/>
        </w:rPr>
        <w:t>（四）最后报价唯一，且不高于最高限价。</w:t>
      </w:r>
    </w:p>
    <w:p>
      <w:pPr>
        <w:pStyle w:val="null5"/>
        <w:ind w:firstLine="480"/>
        <w:jc w:val="left"/>
      </w:pPr>
      <w:r>
        <w:rPr>
          <w:rFonts w:ascii="仿宋_GB2312" w:hAnsi="仿宋_GB2312" w:cs="仿宋_GB2312" w:eastAsia="仿宋_GB2312"/>
        </w:rPr>
        <w:t>五、最后报价出现下列情况的，除磋商文件另有规定外，按以下原则处理：</w:t>
      </w:r>
    </w:p>
    <w:p>
      <w:pPr>
        <w:pStyle w:val="null5"/>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5"/>
        <w:ind w:firstLine="480"/>
        <w:jc w:val="left"/>
      </w:pPr>
      <w:r>
        <w:rPr>
          <w:rFonts w:ascii="仿宋_GB2312" w:hAnsi="仿宋_GB2312" w:cs="仿宋_GB2312" w:eastAsia="仿宋_GB2312"/>
        </w:rPr>
        <w:t>（二）单价金额小数点或者百分比有明显错位的，应以总价为准，并修改单价；</w:t>
      </w:r>
    </w:p>
    <w:p>
      <w:pPr>
        <w:pStyle w:val="null5"/>
        <w:ind w:firstLine="480"/>
        <w:jc w:val="left"/>
      </w:pPr>
      <w:r>
        <w:rPr>
          <w:rFonts w:ascii="仿宋_GB2312" w:hAnsi="仿宋_GB2312" w:cs="仿宋_GB2312" w:eastAsia="仿宋_GB2312"/>
        </w:rPr>
        <w:t>（三）总价金额与按单价汇总金额不一致的，以单价汇总金额计算结果为准；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left"/>
      </w:pPr>
      <w:r>
        <w:rPr>
          <w:rFonts w:ascii="仿宋_GB2312" w:hAnsi="仿宋_GB2312" w:cs="仿宋_GB2312" w:eastAsia="仿宋_GB2312"/>
        </w:rPr>
        <w:t>5.3.7.解释、澄清、说明的有关问题</w:t>
      </w:r>
    </w:p>
    <w:p>
      <w:pPr>
        <w:pStyle w:val="null5"/>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5"/>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5"/>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5"/>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5"/>
        <w:ind w:firstLine="480"/>
        <w:jc w:val="left"/>
      </w:pPr>
      <w:r>
        <w:rPr>
          <w:rFonts w:ascii="仿宋_GB2312" w:hAnsi="仿宋_GB2312" w:cs="仿宋_GB2312" w:eastAsia="仿宋_GB2312"/>
        </w:rPr>
        <w:t>5.3.8.比较与评价</w:t>
      </w:r>
    </w:p>
    <w:p>
      <w:pPr>
        <w:pStyle w:val="null5"/>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5"/>
        <w:ind w:firstLine="480"/>
        <w:jc w:val="left"/>
      </w:pPr>
      <w:r>
        <w:rPr>
          <w:rFonts w:ascii="仿宋_GB2312" w:hAnsi="仿宋_GB2312" w:cs="仿宋_GB2312" w:eastAsia="仿宋_GB2312"/>
        </w:rPr>
        <w:t>5.3.9.磋商小组复核</w:t>
      </w:r>
    </w:p>
    <w:p>
      <w:pPr>
        <w:pStyle w:val="null5"/>
        <w:ind w:firstLine="480"/>
        <w:jc w:val="left"/>
      </w:pPr>
      <w:r>
        <w:rPr>
          <w:rFonts w:ascii="仿宋_GB2312" w:hAnsi="仿宋_GB2312" w:cs="仿宋_GB2312" w:eastAsia="仿宋_GB2312"/>
        </w:rPr>
        <w:t>评审结束后，磋商小组应当进行复核，特别要对拟推荐为成交供应商的、报价最低的、响应文件被认定为无效的进行重点复核。</w:t>
      </w:r>
    </w:p>
    <w:p>
      <w:pPr>
        <w:pStyle w:val="null5"/>
        <w:ind w:firstLine="480"/>
        <w:jc w:val="left"/>
      </w:pPr>
      <w:r>
        <w:rPr>
          <w:rFonts w:ascii="仿宋_GB2312" w:hAnsi="仿宋_GB2312" w:cs="仿宋_GB2312" w:eastAsia="仿宋_GB2312"/>
        </w:rPr>
        <w:t>5.3.10.代理机构现场复核评审结果</w:t>
      </w:r>
    </w:p>
    <w:p>
      <w:pPr>
        <w:pStyle w:val="null5"/>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5"/>
        <w:ind w:firstLine="480"/>
        <w:jc w:val="left"/>
      </w:pPr>
      <w:r>
        <w:rPr>
          <w:rFonts w:ascii="仿宋_GB2312" w:hAnsi="仿宋_GB2312" w:cs="仿宋_GB2312" w:eastAsia="仿宋_GB2312"/>
        </w:rPr>
        <w:t>（一）资格审查认定错误的；</w:t>
      </w:r>
    </w:p>
    <w:p>
      <w:pPr>
        <w:pStyle w:val="null5"/>
        <w:ind w:firstLine="480"/>
        <w:jc w:val="left"/>
      </w:pPr>
      <w:r>
        <w:rPr>
          <w:rFonts w:ascii="仿宋_GB2312" w:hAnsi="仿宋_GB2312" w:cs="仿宋_GB2312" w:eastAsia="仿宋_GB2312"/>
        </w:rPr>
        <w:t>（二）分值汇总计算错误的；</w:t>
      </w:r>
    </w:p>
    <w:p>
      <w:pPr>
        <w:pStyle w:val="null5"/>
        <w:ind w:firstLine="480"/>
        <w:jc w:val="left"/>
      </w:pPr>
      <w:r>
        <w:rPr>
          <w:rFonts w:ascii="仿宋_GB2312" w:hAnsi="仿宋_GB2312" w:cs="仿宋_GB2312" w:eastAsia="仿宋_GB2312"/>
        </w:rPr>
        <w:t>（三）分项评分超出评分标准范围的；</w:t>
      </w:r>
    </w:p>
    <w:p>
      <w:pPr>
        <w:pStyle w:val="null5"/>
        <w:ind w:firstLine="480"/>
        <w:jc w:val="left"/>
      </w:pPr>
      <w:r>
        <w:rPr>
          <w:rFonts w:ascii="仿宋_GB2312" w:hAnsi="仿宋_GB2312" w:cs="仿宋_GB2312" w:eastAsia="仿宋_GB2312"/>
        </w:rPr>
        <w:t>（四）客观评分不一致的。</w:t>
      </w:r>
    </w:p>
    <w:p>
      <w:pPr>
        <w:pStyle w:val="null5"/>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5"/>
        <w:ind w:firstLine="480"/>
        <w:jc w:val="left"/>
      </w:pPr>
      <w:r>
        <w:rPr>
          <w:rFonts w:ascii="仿宋_GB2312" w:hAnsi="仿宋_GB2312" w:cs="仿宋_GB2312" w:eastAsia="仿宋_GB2312"/>
        </w:rPr>
        <w:t>三、代理机构复核过程中，磋商小组成员不得离开评审现场。</w:t>
      </w:r>
    </w:p>
    <w:p>
      <w:pPr>
        <w:pStyle w:val="null5"/>
        <w:ind w:firstLine="480"/>
        <w:jc w:val="left"/>
      </w:pPr>
      <w:r>
        <w:rPr>
          <w:rFonts w:ascii="仿宋_GB2312" w:hAnsi="仿宋_GB2312" w:cs="仿宋_GB2312" w:eastAsia="仿宋_GB2312"/>
        </w:rPr>
        <w:t>四、除资格审查认定错误和价格计算错误外，采购人或者代理机构不得以任何理由组织重新评审。代理机构发现磋商小组未按照磋商文件规定的评定成交的标准进行评审的，应当重新开展采购活动，并同时书面报告项目同级财政部门。</w:t>
      </w:r>
    </w:p>
    <w:p>
      <w:pPr>
        <w:pStyle w:val="null5"/>
        <w:ind w:firstLine="480"/>
        <w:jc w:val="left"/>
      </w:pPr>
      <w:r>
        <w:rPr>
          <w:rFonts w:ascii="仿宋_GB2312" w:hAnsi="仿宋_GB2312" w:cs="仿宋_GB2312" w:eastAsia="仿宋_GB2312"/>
        </w:rPr>
        <w:t>5.3.11.推荐成交候选供应商</w:t>
      </w:r>
    </w:p>
    <w:p>
      <w:pPr>
        <w:pStyle w:val="null5"/>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5"/>
        <w:ind w:firstLine="480"/>
        <w:jc w:val="left"/>
      </w:pPr>
      <w:r>
        <w:rPr>
          <w:rFonts w:ascii="仿宋_GB2312" w:hAnsi="仿宋_GB2312" w:cs="仿宋_GB2312" w:eastAsia="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按照技术指标得分确定优劣）顺序排列。</w:t>
      </w:r>
    </w:p>
    <w:p>
      <w:pPr>
        <w:pStyle w:val="null5"/>
        <w:ind w:firstLine="480"/>
        <w:jc w:val="both"/>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5"/>
        <w:ind w:firstLine="480"/>
        <w:jc w:val="left"/>
      </w:pPr>
      <w:r>
        <w:rPr>
          <w:rFonts w:ascii="仿宋_GB2312" w:hAnsi="仿宋_GB2312" w:cs="仿宋_GB2312" w:eastAsia="仿宋_GB2312"/>
        </w:rPr>
        <w:t>5.3.12.出具磋商报告</w:t>
      </w:r>
    </w:p>
    <w:p>
      <w:pPr>
        <w:pStyle w:val="null5"/>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5"/>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5"/>
        <w:ind w:firstLine="480"/>
        <w:jc w:val="left"/>
      </w:pPr>
      <w:r>
        <w:rPr>
          <w:rFonts w:ascii="仿宋_GB2312" w:hAnsi="仿宋_GB2312" w:cs="仿宋_GB2312" w:eastAsia="仿宋_GB2312"/>
        </w:rPr>
        <w:t>二、磋商日期和地点，磋商小组成员名单；</w:t>
      </w:r>
    </w:p>
    <w:p>
      <w:pPr>
        <w:pStyle w:val="null5"/>
        <w:ind w:firstLine="480"/>
        <w:jc w:val="left"/>
      </w:pPr>
      <w:r>
        <w:rPr>
          <w:rFonts w:ascii="仿宋_GB2312" w:hAnsi="仿宋_GB2312" w:cs="仿宋_GB2312" w:eastAsia="仿宋_GB2312"/>
        </w:rPr>
        <w:t>三、参加报价的供应商名单及报价情况和未参加报价的供应商名单及原因；</w:t>
      </w:r>
    </w:p>
    <w:p>
      <w:pPr>
        <w:pStyle w:val="null5"/>
        <w:ind w:firstLine="480"/>
        <w:jc w:val="left"/>
      </w:pPr>
      <w:r>
        <w:rPr>
          <w:rFonts w:ascii="仿宋_GB2312" w:hAnsi="仿宋_GB2312" w:cs="仿宋_GB2312" w:eastAsia="仿宋_GB2312"/>
        </w:rPr>
        <w:t>四、变动磋商文件实质性内容的有关资料及记录；</w:t>
      </w:r>
    </w:p>
    <w:p>
      <w:pPr>
        <w:pStyle w:val="null5"/>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5"/>
        <w:ind w:firstLine="480"/>
        <w:jc w:val="left"/>
      </w:pPr>
      <w:r>
        <w:rPr>
          <w:rFonts w:ascii="仿宋_GB2312" w:hAnsi="仿宋_GB2312" w:cs="仿宋_GB2312" w:eastAsia="仿宋_GB2312"/>
        </w:rPr>
        <w:t>六、磋商情况记录和说明，包括对供应商的资格审查情况、供应商响应文件磋商情况等；</w:t>
      </w:r>
    </w:p>
    <w:p>
      <w:pPr>
        <w:pStyle w:val="null5"/>
        <w:ind w:firstLine="480"/>
        <w:jc w:val="left"/>
      </w:pPr>
      <w:r>
        <w:rPr>
          <w:rFonts w:ascii="仿宋_GB2312" w:hAnsi="仿宋_GB2312" w:cs="仿宋_GB2312" w:eastAsia="仿宋_GB2312"/>
        </w:rPr>
        <w:t>七、推荐的成交候选供应商名单及理由。</w:t>
      </w:r>
    </w:p>
    <w:p>
      <w:pPr>
        <w:pStyle w:val="null5"/>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报告上签字或加盖电子印章又不说明其不同意见和理由的，视为同意磋商报告。</w:t>
      </w:r>
    </w:p>
    <w:p>
      <w:pPr>
        <w:pStyle w:val="null5"/>
        <w:ind w:firstLine="480"/>
        <w:jc w:val="left"/>
      </w:pPr>
      <w:r>
        <w:rPr>
          <w:rFonts w:ascii="仿宋_GB2312" w:hAnsi="仿宋_GB2312" w:cs="仿宋_GB2312" w:eastAsia="仿宋_GB2312"/>
        </w:rPr>
        <w:t>5.3.13.评审争议处理规则</w:t>
      </w:r>
    </w:p>
    <w:p>
      <w:pPr>
        <w:pStyle w:val="null5"/>
        <w:ind w:firstLine="480"/>
        <w:jc w:val="left"/>
      </w:pPr>
      <w:r>
        <w:rPr>
          <w:rFonts w:ascii="仿宋_GB2312" w:hAnsi="仿宋_GB2312" w:cs="仿宋_GB2312" w:eastAsia="仿宋_GB2312"/>
        </w:rPr>
        <w:t>磋商小组在磋商过程中，对于资格审查、符合性审查、对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5.4.评审方法、细则及标准</w:t>
      </w:r>
    </w:p>
    <w:p>
      <w:pPr>
        <w:pStyle w:val="null5"/>
        <w:ind w:firstLine="480"/>
        <w:jc w:val="left"/>
      </w:pPr>
      <w:r>
        <w:rPr>
          <w:rFonts w:ascii="仿宋_GB2312" w:hAnsi="仿宋_GB2312" w:cs="仿宋_GB2312" w:eastAsia="仿宋_GB2312"/>
        </w:rPr>
        <w:t>5.4.1.评审方法</w:t>
      </w:r>
    </w:p>
    <w:p>
      <w:pPr>
        <w:pStyle w:val="null5"/>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5.4.2.评审细则及标准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pPr>
            <w:r>
              <w:rPr>
                <w:rFonts w:ascii="仿宋_GB2312" w:hAnsi="仿宋_GB2312" w:cs="仿宋_GB2312" w:eastAsia="仿宋_GB2312"/>
              </w:rPr>
              <w:t>技术部分50.00分</w:t>
            </w:r>
          </w:p>
          <w:p>
            <w:pPr>
              <w:pStyle w:val="null5"/>
            </w:pPr>
            <w:r>
              <w:rPr>
                <w:rFonts w:ascii="仿宋_GB2312" w:hAnsi="仿宋_GB2312" w:cs="仿宋_GB2312" w:eastAsia="仿宋_GB2312"/>
              </w:rPr>
              <w:t>商务部分10.00分</w:t>
            </w:r>
          </w:p>
          <w:p>
            <w:pPr>
              <w:pStyle w:val="null5"/>
            </w:pPr>
            <w:r>
              <w:rPr>
                <w:rFonts w:ascii="仿宋_GB2312" w:hAnsi="仿宋_GB2312" w:cs="仿宋_GB2312" w:eastAsia="仿宋_GB2312"/>
              </w:rPr>
              <w:t>报价得分40.00分</w:t>
            </w:r>
          </w:p>
          <w:p>
            <w:pPr>
              <w:pStyle w:val="null5"/>
            </w:pPr>
            <w:r>
              <w:rPr>
                <w:rFonts w:ascii="仿宋_GB2312" w:hAnsi="仿宋_GB2312" w:cs="仿宋_GB2312" w:eastAsia="仿宋_GB2312"/>
              </w:rPr>
              <w:t>附加分9.00分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pPr>
            <w:r>
              <w:rPr>
                <w:rFonts w:ascii="仿宋_GB2312" w:hAnsi="仿宋_GB2312" w:cs="仿宋_GB2312" w:eastAsia="仿宋_GB2312"/>
              </w:rPr>
              <w:t>技术评审</w:t>
            </w:r>
          </w:p>
        </w:tc>
        <w:tc>
          <w:tcPr>
            <w:tcW w:type="dxa" w:w="1661"/>
          </w:tcPr>
          <w:p>
            <w:pPr>
              <w:pStyle w:val="null5"/>
            </w:pPr>
            <w:r>
              <w:rPr>
                <w:rFonts w:ascii="仿宋_GB2312" w:hAnsi="仿宋_GB2312" w:cs="仿宋_GB2312" w:eastAsia="仿宋_GB2312"/>
              </w:rPr>
              <w:t>产品技术性能及参数</w:t>
            </w:r>
          </w:p>
        </w:tc>
        <w:tc>
          <w:tcPr>
            <w:tcW w:type="dxa" w:w="2575"/>
          </w:tcPr>
          <w:p>
            <w:pPr>
              <w:pStyle w:val="null5"/>
            </w:pPr>
            <w:r>
              <w:rPr>
                <w:rFonts w:ascii="仿宋_GB2312" w:hAnsi="仿宋_GB2312" w:cs="仿宋_GB2312" w:eastAsia="仿宋_GB2312"/>
              </w:rPr>
              <w:t>技术指标响应：根据供应商所报产品的技术标准与参数配置对磋商要求的响应程度以及技术指标的偏离情况进行评审，所报产品的所有参数配置与技术指标无偏离或正偏离得基准分20分；非实质性技术参数中，重要技术参数（带▲号项）每有一项有负偏离的情况，在评审基准分的基础上减1分；其他技术参数（不带▲号项），每有一项有负偏离的情况，在评审基准分的基础上减0.5分，减至0分为止；无此项内容不得分。 注：①技术参数具体偏离情况将以技术偏离表为准，若供应商未填偏离表，或未明确标注偏离情况（无偏离、正偏离、负偏离）的，视为负偏离。 ②具体偏离项须在偏离表中逐条列明，须标明在技术说明中对应页码并以醒目方式标注。 ③带▲号项提供相应功能证明材料（包括但不限于测试报告、官网和功能截图等）。 ④技术参数扣分项为技术参数与性能指标中的每个最末级子项。</w:t>
            </w:r>
          </w:p>
        </w:tc>
        <w:tc>
          <w:tcPr>
            <w:tcW w:type="dxa" w:w="831"/>
          </w:tcPr>
          <w:p>
            <w:pPr>
              <w:pStyle w:val="null5"/>
              <w:jc w:val="center"/>
            </w:pPr>
            <w:r>
              <w:rPr>
                <w:rFonts w:ascii="仿宋_GB2312" w:hAnsi="仿宋_GB2312" w:cs="仿宋_GB2312" w:eastAsia="仿宋_GB2312"/>
              </w:rPr>
              <w:t>20.0000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技术偏离表</w:t>
            </w:r>
          </w:p>
        </w:tc>
      </w:tr>
      <w:tr>
        <w:tc>
          <w:tcPr>
            <w:tcW w:type="dxa" w:w="831"/>
            <w:vMerge/>
          </w:tcPr>
          <w:p/>
        </w:tc>
        <w:tc>
          <w:tcPr>
            <w:tcW w:type="dxa" w:w="1661"/>
          </w:tcPr>
          <w:p>
            <w:pPr>
              <w:pStyle w:val="null5"/>
            </w:pPr>
            <w:r>
              <w:rPr>
                <w:rFonts w:ascii="仿宋_GB2312" w:hAnsi="仿宋_GB2312" w:cs="仿宋_GB2312" w:eastAsia="仿宋_GB2312"/>
              </w:rPr>
              <w:t>供货方案、产品安装和调试方案</w:t>
            </w:r>
          </w:p>
        </w:tc>
        <w:tc>
          <w:tcPr>
            <w:tcW w:type="dxa" w:w="2575"/>
          </w:tcPr>
          <w:p>
            <w:pPr>
              <w:pStyle w:val="null5"/>
            </w:pPr>
            <w:r>
              <w:rPr>
                <w:rFonts w:ascii="仿宋_GB2312" w:hAnsi="仿宋_GB2312" w:cs="仿宋_GB2312" w:eastAsia="仿宋_GB2312"/>
              </w:rPr>
              <w:t>磋商小组成员根据方案响应情况进行综合评审，酌情打分，本项满分6分。存在瑕疵或不足的以0.5分为单位进行扣减，扣完为止；无此项内容不得分。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供货方案、产品安装和调试方案</w:t>
            </w:r>
          </w:p>
        </w:tc>
      </w:tr>
      <w:tr>
        <w:tc>
          <w:tcPr>
            <w:tcW w:type="dxa" w:w="831"/>
            <w:vMerge/>
          </w:tcPr>
          <w:p/>
        </w:tc>
        <w:tc>
          <w:tcPr>
            <w:tcW w:type="dxa" w:w="1661"/>
          </w:tcPr>
          <w:p>
            <w:pPr>
              <w:pStyle w:val="null5"/>
            </w:pPr>
            <w:r>
              <w:rPr>
                <w:rFonts w:ascii="仿宋_GB2312" w:hAnsi="仿宋_GB2312" w:cs="仿宋_GB2312" w:eastAsia="仿宋_GB2312"/>
              </w:rPr>
              <w:t>质量管理措施</w:t>
            </w:r>
          </w:p>
        </w:tc>
        <w:tc>
          <w:tcPr>
            <w:tcW w:type="dxa" w:w="2575"/>
          </w:tcPr>
          <w:p>
            <w:pPr>
              <w:pStyle w:val="null5"/>
            </w:pPr>
            <w:r>
              <w:rPr>
                <w:rFonts w:ascii="仿宋_GB2312" w:hAnsi="仿宋_GB2312" w:cs="仿宋_GB2312" w:eastAsia="仿宋_GB2312"/>
              </w:rPr>
              <w:t>磋商小组成员根据方案响应情况进行综合评审，酌情打分，本项满分6分。存在瑕疵或不足的以0.5分为单位进行扣减，扣完为止；无此项内容不得分。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质量管理措施</w:t>
            </w:r>
          </w:p>
        </w:tc>
      </w:tr>
      <w:tr>
        <w:tc>
          <w:tcPr>
            <w:tcW w:type="dxa" w:w="831"/>
            <w:vMerge/>
          </w:tcPr>
          <w:p/>
        </w:tc>
        <w:tc>
          <w:tcPr>
            <w:tcW w:type="dxa" w:w="1661"/>
          </w:tcPr>
          <w:p>
            <w:pPr>
              <w:pStyle w:val="null5"/>
            </w:pPr>
            <w:r>
              <w:rPr>
                <w:rFonts w:ascii="仿宋_GB2312" w:hAnsi="仿宋_GB2312" w:cs="仿宋_GB2312" w:eastAsia="仿宋_GB2312"/>
              </w:rPr>
              <w:t>风险控制方案</w:t>
            </w:r>
          </w:p>
        </w:tc>
        <w:tc>
          <w:tcPr>
            <w:tcW w:type="dxa" w:w="2575"/>
          </w:tcPr>
          <w:p>
            <w:pPr>
              <w:pStyle w:val="null5"/>
            </w:pPr>
            <w:r>
              <w:rPr>
                <w:rFonts w:ascii="仿宋_GB2312" w:hAnsi="仿宋_GB2312" w:cs="仿宋_GB2312" w:eastAsia="仿宋_GB2312"/>
              </w:rPr>
              <w:t>磋商小组成员根据方案响应情况进行综合评审，酌情打分，本项满分6分。存在瑕疵或不足的以0.5分为单位进行扣减，扣完为止；无此项内容不得分。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风险控制方案</w:t>
            </w:r>
          </w:p>
        </w:tc>
      </w:tr>
      <w:tr>
        <w:tc>
          <w:tcPr>
            <w:tcW w:type="dxa" w:w="831"/>
            <w:vMerge/>
          </w:tcPr>
          <w:p/>
        </w:tc>
        <w:tc>
          <w:tcPr>
            <w:tcW w:type="dxa" w:w="1661"/>
          </w:tcPr>
          <w:p>
            <w:pPr>
              <w:pStyle w:val="null5"/>
            </w:pPr>
            <w:r>
              <w:rPr>
                <w:rFonts w:ascii="仿宋_GB2312" w:hAnsi="仿宋_GB2312" w:cs="仿宋_GB2312" w:eastAsia="仿宋_GB2312"/>
              </w:rPr>
              <w:t>应急处理方案</w:t>
            </w:r>
          </w:p>
        </w:tc>
        <w:tc>
          <w:tcPr>
            <w:tcW w:type="dxa" w:w="2575"/>
          </w:tcPr>
          <w:p>
            <w:pPr>
              <w:pStyle w:val="null5"/>
            </w:pPr>
            <w:r>
              <w:rPr>
                <w:rFonts w:ascii="仿宋_GB2312" w:hAnsi="仿宋_GB2312" w:cs="仿宋_GB2312" w:eastAsia="仿宋_GB2312"/>
              </w:rPr>
              <w:t>磋商小组成员根据方案响应情况进行综合评审，酌情打分，本项满分6分。存在瑕疵或不足的以0.5分为单位进行扣减，扣完为止；无此项内容不得分。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应急处理方案</w:t>
            </w:r>
          </w:p>
        </w:tc>
      </w:tr>
      <w:tr>
        <w:tc>
          <w:tcPr>
            <w:tcW w:type="dxa" w:w="831"/>
            <w:vMerge/>
          </w:tcPr>
          <w:p/>
        </w:tc>
        <w:tc>
          <w:tcPr>
            <w:tcW w:type="dxa" w:w="1661"/>
          </w:tcPr>
          <w:p>
            <w:pPr>
              <w:pStyle w:val="null5"/>
            </w:pPr>
            <w:r>
              <w:rPr>
                <w:rFonts w:ascii="仿宋_GB2312" w:hAnsi="仿宋_GB2312" w:cs="仿宋_GB2312" w:eastAsia="仿宋_GB2312"/>
              </w:rPr>
              <w:t>培训及技术支持方案</w:t>
            </w:r>
          </w:p>
        </w:tc>
        <w:tc>
          <w:tcPr>
            <w:tcW w:type="dxa" w:w="2575"/>
          </w:tcPr>
          <w:p>
            <w:pPr>
              <w:pStyle w:val="null5"/>
            </w:pPr>
            <w:r>
              <w:rPr>
                <w:rFonts w:ascii="仿宋_GB2312" w:hAnsi="仿宋_GB2312" w:cs="仿宋_GB2312" w:eastAsia="仿宋_GB2312"/>
              </w:rPr>
              <w:t>磋商小组成员根据方案响应情况进行综合评审，酌情打分，本项满分6分。存在瑕疵或不足的以0.5分为单位进行扣减，扣完为止；无此项内容不得分。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培训及技术支持方案</w:t>
            </w:r>
          </w:p>
        </w:tc>
      </w:tr>
      <w:tr>
        <w:tc>
          <w:tcPr>
            <w:tcW w:type="dxa" w:w="831"/>
            <w:vMerge w:val="restart"/>
          </w:tcPr>
          <w:p>
            <w:pPr>
              <w:pStyle w:val="null5"/>
            </w:pPr>
            <w:r>
              <w:rPr>
                <w:rFonts w:ascii="仿宋_GB2312" w:hAnsi="仿宋_GB2312" w:cs="仿宋_GB2312" w:eastAsia="仿宋_GB2312"/>
              </w:rPr>
              <w:t>商务评审</w:t>
            </w:r>
          </w:p>
        </w:tc>
        <w:tc>
          <w:tcPr>
            <w:tcW w:type="dxa" w:w="1661"/>
          </w:tcPr>
          <w:p>
            <w:pPr>
              <w:pStyle w:val="null5"/>
            </w:pPr>
            <w:r>
              <w:rPr>
                <w:rFonts w:ascii="仿宋_GB2312" w:hAnsi="仿宋_GB2312" w:cs="仿宋_GB2312" w:eastAsia="仿宋_GB2312"/>
              </w:rPr>
              <w:t>售后服务能力与承诺</w:t>
            </w:r>
          </w:p>
        </w:tc>
        <w:tc>
          <w:tcPr>
            <w:tcW w:type="dxa" w:w="2575"/>
          </w:tcPr>
          <w:p>
            <w:pPr>
              <w:pStyle w:val="null5"/>
            </w:pPr>
            <w:r>
              <w:rPr>
                <w:rFonts w:ascii="仿宋_GB2312" w:hAnsi="仿宋_GB2312" w:cs="仿宋_GB2312" w:eastAsia="仿宋_GB2312"/>
              </w:rPr>
              <w:t>（1）故障支持与解决：1分 供应商提供7×24小时（全天候）响应，接到故障通知后在12小时内到达并解决故障，得1分；供应商提供7×24小时（全天候）响应，接到故障通知后在18小时内到达并解决故障，得0.5分。 （2）供应商承诺所投产品（设备）整体系统质量免费保修（包括人工和部件）、上门服务年限均为3年（含）以上，得1分，否则不得分。 （3）供应商为采购人专门建立备品、备件库，设备（软件）出现故障，需要返厂维修时，提供备品备件的，得1分；否则不得分。 （4）供应商承诺在成交后，提供至少5人到采购人指定地点进行至少5天相关设备使用培训，得1分；供应商承诺在中标后，提供至少3人到采购人指定地点进行至少5天相关设备使用培训，得0.5分；本项最高得1分。不承诺设备使用培训的，不得分。 以上售后服务承诺须按磋商文件编制要求全部编制在响应文件中并加盖供应商电子签章，否则评委不予计分。</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售后服务能力与承诺</w:t>
            </w:r>
          </w:p>
        </w:tc>
      </w:tr>
      <w:tr>
        <w:tc>
          <w:tcPr>
            <w:tcW w:type="dxa" w:w="831"/>
            <w:vMerge/>
          </w:tcPr>
          <w:p/>
        </w:tc>
        <w:tc>
          <w:tcPr>
            <w:tcW w:type="dxa" w:w="1661"/>
          </w:tcPr>
          <w:p>
            <w:pPr>
              <w:pStyle w:val="null5"/>
            </w:pPr>
            <w:r>
              <w:rPr>
                <w:rFonts w:ascii="仿宋_GB2312" w:hAnsi="仿宋_GB2312" w:cs="仿宋_GB2312" w:eastAsia="仿宋_GB2312"/>
              </w:rPr>
              <w:t>业绩</w:t>
            </w:r>
          </w:p>
        </w:tc>
        <w:tc>
          <w:tcPr>
            <w:tcW w:type="dxa" w:w="2575"/>
          </w:tcPr>
          <w:p>
            <w:pPr>
              <w:pStyle w:val="null5"/>
            </w:pPr>
            <w:r>
              <w:rPr>
                <w:rFonts w:ascii="仿宋_GB2312" w:hAnsi="仿宋_GB2312" w:cs="仿宋_GB2312" w:eastAsia="仿宋_GB2312"/>
              </w:rPr>
              <w:t>供应商自2023年1月1日以来（以合同签订日期为准）承担或完成的类似业绩（类似业绩是指：至少包含核心产品且核心产品技术性能与本项目采购需求相同或类似），每提供一项得1分，本项最高得3分。[注：以上打分以单个采购合同为准，不重复累计；得分以该项最高得分为准，不重复加分] 类似业绩必须同时提供以下材料否则不得分：①采购合同扫描件②验收证明材料。 以上资料中所涉及的项目名称、采购内容、合同金额应相符，否则，磋商小组一律不予认可。提供资料不全或不符合磋商文件要求的，磋商一律不予认可。 供应商提供的以上业绩资料扫描件须按磋商文件编制要求全部编制在响应文件中并加盖供应商电子签章。评标时由磋商小组进行评审，否则一律不予认可。</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业绩一览表及证明材料</w:t>
            </w:r>
          </w:p>
        </w:tc>
      </w:tr>
      <w:tr>
        <w:tc>
          <w:tcPr>
            <w:tcW w:type="dxa" w:w="831"/>
            <w:vMerge/>
          </w:tcPr>
          <w:p/>
        </w:tc>
        <w:tc>
          <w:tcPr>
            <w:tcW w:type="dxa" w:w="1661"/>
          </w:tcPr>
          <w:p>
            <w:pPr>
              <w:pStyle w:val="null5"/>
            </w:pPr>
            <w:r>
              <w:rPr>
                <w:rFonts w:ascii="仿宋_GB2312" w:hAnsi="仿宋_GB2312" w:cs="仿宋_GB2312" w:eastAsia="仿宋_GB2312"/>
              </w:rPr>
              <w:t>全生命周期成本</w:t>
            </w:r>
          </w:p>
        </w:tc>
        <w:tc>
          <w:tcPr>
            <w:tcW w:type="dxa" w:w="2575"/>
          </w:tcPr>
          <w:p>
            <w:pPr>
              <w:pStyle w:val="null5"/>
            </w:pPr>
            <w:r>
              <w:rPr>
                <w:rFonts w:ascii="仿宋_GB2312" w:hAnsi="仿宋_GB2312" w:cs="仿宋_GB2312" w:eastAsia="仿宋_GB2312"/>
              </w:rPr>
              <w:t>对成本构成、金额及计算依据等全生命周期成本进行评价，本项最高得3分。每有一处瑕疵或不完善扣0.5分，扣完为止，缺项不得分。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项目全生命周期成分分析</w:t>
            </w:r>
          </w:p>
        </w:tc>
      </w:tr>
      <w:tr>
        <w:tc>
          <w:tcPr>
            <w:tcW w:type="dxa" w:w="831"/>
          </w:tcPr>
          <w:p>
            <w:pPr>
              <w:pStyle w:val="null5"/>
            </w:pPr>
            <w:r>
              <w:rPr>
                <w:rFonts w:ascii="仿宋_GB2312" w:hAnsi="仿宋_GB2312" w:cs="仿宋_GB2312" w:eastAsia="仿宋_GB2312"/>
              </w:rPr>
              <w:t>异常低价审查</w:t>
            </w:r>
          </w:p>
        </w:tc>
        <w:tc>
          <w:tcPr>
            <w:tcW w:type="dxa" w:w="1661"/>
          </w:tcPr>
          <w:p>
            <w:pPr>
              <w:pStyle w:val="null5"/>
            </w:pPr>
            <w:r>
              <w:rPr>
                <w:rFonts w:ascii="仿宋_GB2312" w:hAnsi="仿宋_GB2312" w:cs="仿宋_GB2312" w:eastAsia="仿宋_GB2312"/>
              </w:rPr>
              <w:t>异常低价审查</w:t>
            </w:r>
          </w:p>
        </w:tc>
        <w:tc>
          <w:tcPr>
            <w:tcW w:type="dxa" w:w="2575"/>
          </w:tcPr>
          <w:p>
            <w:pPr>
              <w:pStyle w:val="null5"/>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山东石油化工学院药物分析实验室新建项目响应报价低于全部通过符合性审查供应商响应报价平均值50%的，即山东石油化工学院药物分析实验室新建项目响应报价&lt;全部通过符合性审查供应商响应报价平均值×50%。 （2）山东石油化工学院药物分析实验室新建项目响应报价低于通过符合性审查且报价次低供应商响应报价50%的，即山东石油化工学院药物分析实验室新建项目响应报价&lt;通过符合性审查且报价次低供应商响应报价×50%。 （3）山东石油化工学院药物分析实验室新建项目响应报价低于最高限价45%的，即山东石油化工学院药物分析实验室新建项目响应报价&lt;最高限价×45%。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tc>
      </w:tr>
      <w:tr>
        <w:tc>
          <w:tcPr>
            <w:tcW w:type="dxa" w:w="831"/>
          </w:tcPr>
          <w:p>
            <w:pPr>
              <w:pStyle w:val="null5"/>
            </w:pPr>
            <w:r>
              <w:rPr>
                <w:rFonts w:ascii="仿宋_GB2312" w:hAnsi="仿宋_GB2312" w:cs="仿宋_GB2312" w:eastAsia="仿宋_GB2312"/>
              </w:rPr>
              <w:t>价格评审</w:t>
            </w:r>
          </w:p>
        </w:tc>
        <w:tc>
          <w:tcPr>
            <w:tcW w:type="dxa" w:w="1661"/>
          </w:tcPr>
          <w:p>
            <w:pPr>
              <w:pStyle w:val="null5"/>
            </w:pPr>
            <w:r>
              <w:rPr>
                <w:rFonts w:ascii="仿宋_GB2312" w:hAnsi="仿宋_GB2312" w:cs="仿宋_GB2312" w:eastAsia="仿宋_GB2312"/>
              </w:rPr>
              <w:t>投标价格得分</w:t>
            </w:r>
          </w:p>
        </w:tc>
        <w:tc>
          <w:tcPr>
            <w:tcW w:type="dxa" w:w="2575"/>
          </w:tcPr>
          <w:p>
            <w:pPr>
              <w:pStyle w:val="null5"/>
            </w:pPr>
            <w:r>
              <w:rPr>
                <w:rFonts w:ascii="仿宋_GB2312" w:hAnsi="仿宋_GB2312" w:cs="仿宋_GB2312" w:eastAsia="仿宋_GB2312"/>
              </w:rPr>
              <w:t>采购人在评标办法中确定价格分值占总分值的比重（权重）为40%（即价格权值为40%）。本采购项目按照低价优先法计算报价得分，即满足磋商文件要求且磋商价格最低的磋商报价为磋商基准价，其价格分为满分。其他供应商的价格分值统一按照下列公式计算：磋商报价得分=（磋商基准价/磋商报价）×价格权值×100。供应商磋商报价得分按“四舍五入”精确到小数点后两位。磋商报价最高限价与评标基准价之间为投标报价有效范围。</w:t>
            </w:r>
          </w:p>
        </w:tc>
        <w:tc>
          <w:tcPr>
            <w:tcW w:type="dxa" w:w="831"/>
          </w:tcPr>
          <w:p>
            <w:pPr>
              <w:pStyle w:val="null5"/>
              <w:jc w:val="center"/>
            </w:pPr>
            <w:r>
              <w:rPr>
                <w:rFonts w:ascii="仿宋_GB2312" w:hAnsi="仿宋_GB2312" w:cs="仿宋_GB2312" w:eastAsia="仿宋_GB2312"/>
              </w:rPr>
              <w:t>40.0000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tc>
      </w:tr>
      <w:tr>
        <w:tc>
          <w:tcPr>
            <w:tcW w:type="dxa" w:w="831"/>
          </w:tcPr>
          <w:p>
            <w:pPr>
              <w:pStyle w:val="null5"/>
            </w:pPr>
            <w:r>
              <w:rPr>
                <w:rFonts w:ascii="仿宋_GB2312" w:hAnsi="仿宋_GB2312" w:cs="仿宋_GB2312" w:eastAsia="仿宋_GB2312"/>
              </w:rPr>
              <w:t>附加分</w:t>
            </w:r>
          </w:p>
        </w:tc>
        <w:tc>
          <w:tcPr>
            <w:tcW w:type="dxa" w:w="1661"/>
          </w:tcPr>
          <w:p>
            <w:pPr>
              <w:pStyle w:val="null5"/>
            </w:pPr>
            <w:r>
              <w:rPr>
                <w:rFonts w:ascii="仿宋_GB2312" w:hAnsi="仿宋_GB2312" w:cs="仿宋_GB2312" w:eastAsia="仿宋_GB2312"/>
              </w:rPr>
              <w:t>节能、环保评分项</w:t>
            </w:r>
          </w:p>
        </w:tc>
        <w:tc>
          <w:tcPr>
            <w:tcW w:type="dxa" w:w="2575"/>
          </w:tcPr>
          <w:p>
            <w:pPr>
              <w:pStyle w:val="null5"/>
            </w:pPr>
            <w:r>
              <w:rPr>
                <w:rFonts w:ascii="仿宋_GB2312" w:hAnsi="仿宋_GB2312" w:cs="仿宋_GB2312" w:eastAsia="仿宋_GB2312"/>
              </w:rPr>
              <w:t>1.若响应的货物为品⽬清单内的节能或环境标志产品（不含品⽬清单强制采购范围产品），在其报价分值基础上分别根据节能或环境标志产品占最后总报价相应⽐例加分，计算公式如下：报价部分加分=【（节能产品报价＋环境标志产品报价）/总报价】×价格评审总分值40×5%。 2.若响应的货物为品⽬清单内的节能或环境标志产品（不含品⽬清单强制采购范围产品），在其技术分值基础上分别根据节能或环境标志产品占最后总报价相应⽐例加分，计算公式如下：技术部分加分=【（节能产品报价＋环境标志产品报价）/总报价】×技术评审总分值50×5%。</w:t>
            </w:r>
          </w:p>
        </w:tc>
        <w:tc>
          <w:tcPr>
            <w:tcW w:type="dxa" w:w="831"/>
          </w:tcPr>
          <w:p>
            <w:pPr>
              <w:pStyle w:val="null5"/>
              <w:jc w:val="center"/>
            </w:pPr>
            <w:r>
              <w:rPr>
                <w:rFonts w:ascii="仿宋_GB2312" w:hAnsi="仿宋_GB2312" w:cs="仿宋_GB2312" w:eastAsia="仿宋_GB2312"/>
              </w:rPr>
              <w:t>9.0000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节能、环境产品</w:t>
            </w:r>
          </w:p>
        </w:tc>
      </w:tr>
    </w:tbl>
    <w:p>
      <w:pPr>
        <w:pStyle w:val="null5"/>
        <w:ind w:firstLine="480"/>
        <w:jc w:val="left"/>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实施本国产品标准</w:t>
            </w:r>
          </w:p>
        </w:tc>
        <w:tc>
          <w:tcPr>
            <w:tcW w:type="dxa" w:w="1661"/>
          </w:tcPr>
          <w:p>
            <w:pPr>
              <w:pStyle w:val="null5"/>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本国产品相关价格扣除： 根据《国务院办公厅关于在政府采购中实施本国产品标准及相关政策的通知》（国办发〔2025〕34号）的规定： （1）当采购项目或者采购包中为单一产品时：投标人对其提供的产品出具符合要求的《关于符合本国产品标准的声明函》（格式详见附件）或财政部会同有关部门规定的有关证明文件的，该产品视为本国产品，对本国产品的报价给予20%的价格扣除，用扣除后的价格参与评审。 （2）当采购项目或者采购包中为多种产品时：投标人为该采购项目或者采购包提供的符合本国产品标准的产品成本之和占该投标人提供的全部产品成本之和的比例达到80%（以提供产品成本占比承诺函为准）以上且投标人其提供的本国产品出具符合要求的《关于符合本国产品标准的声明函》（格式详见附件）或财政部会同有关部门规定的有关证明文件的，依法对该投标人提供的全部产品给予价格评审优惠，即对该投标人提供的全部产品的总报价给予20%的价格扣除，用扣除后的价格参与评审。 注：（1）相关价格评审扣除优惠，均应该在投标人原始报价基础上计算。（2）下列产品不适用本国产品标准：房屋和构筑物；文物、陈列品、图书、档案；特种动植物；农林牧渔初级产品；矿与矿物；电力、燃气、热力、水；食品、饮料及烟草原料；无形资产。（3）仅有本国产品参与竞争的政府采购项目，不执行价格扣除。</w:t>
            </w:r>
          </w:p>
        </w:tc>
        <w:tc>
          <w:tcPr>
            <w:tcW w:type="dxa" w:w="1910"/>
          </w:tcPr>
          <w:p>
            <w:pPr>
              <w:pStyle w:val="null5"/>
              <w:jc w:val="left"/>
            </w:pPr>
            <w:r>
              <w:rPr>
                <w:rFonts w:ascii="仿宋_GB2312" w:hAnsi="仿宋_GB2312" w:cs="仿宋_GB2312" w:eastAsia="仿宋_GB2312"/>
              </w:rPr>
              <w:t>关于符合本国产品标准的声明函、产品成本占比承诺函</w:t>
            </w:r>
          </w:p>
        </w:tc>
      </w:tr>
    </w:tbl>
    <w:p>
      <w:pPr>
        <w:pStyle w:val="null5"/>
        <w:ind w:firstLine="480"/>
        <w:jc w:val="left"/>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559"/>
          </w:tcPr>
          <w:p>
            <w:pPr>
              <w:pStyle w:val="null5"/>
              <w:jc w:val="left"/>
            </w:pPr>
            <w:r>
              <w:rPr>
                <w:rFonts w:ascii="仿宋_GB2312" w:hAnsi="仿宋_GB2312" w:cs="仿宋_GB2312" w:eastAsia="仿宋_GB2312"/>
              </w:rPr>
              <w:t>1</w:t>
            </w:r>
          </w:p>
        </w:tc>
        <w:tc>
          <w:tcPr>
            <w:tcW w:type="dxa" w:w="2396"/>
          </w:tcPr>
          <w:p>
            <w:pPr>
              <w:pStyle w:val="null5"/>
              <w:jc w:val="left"/>
            </w:pPr>
            <w:r>
              <w:rPr>
                <w:rFonts w:ascii="仿宋_GB2312" w:hAnsi="仿宋_GB2312" w:cs="仿宋_GB2312" w:eastAsia="仿宋_GB2312"/>
              </w:rPr>
              <w:t>优先采购节能产品</w:t>
            </w:r>
          </w:p>
        </w:tc>
        <w:tc>
          <w:tcPr>
            <w:tcW w:type="dxa" w:w="2396"/>
          </w:tcPr>
          <w:p>
            <w:pPr>
              <w:pStyle w:val="null5"/>
              <w:jc w:val="left"/>
            </w:pPr>
            <w:r>
              <w:rPr>
                <w:rFonts w:ascii="仿宋_GB2312" w:hAnsi="仿宋_GB2312" w:cs="仿宋_GB2312" w:eastAsia="仿宋_GB2312"/>
              </w:rPr>
              <w:t>根据供应商响应的优先采购的节能产品，确定具有节能产品认证证书的数量，合并计入优先采购产品认证证书数量。说明：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w:t>
            </w:r>
          </w:p>
        </w:tc>
        <w:tc>
          <w:tcPr>
            <w:tcW w:type="dxa" w:w="2955"/>
          </w:tcPr>
          <w:p>
            <w:pPr>
              <w:pStyle w:val="null5"/>
              <w:jc w:val="left"/>
            </w:pPr>
            <w:r>
              <w:rPr>
                <w:rFonts w:ascii="仿宋_GB2312" w:hAnsi="仿宋_GB2312" w:cs="仿宋_GB2312" w:eastAsia="仿宋_GB2312"/>
              </w:rPr>
              <w:t>节能、环境产品</w:t>
            </w:r>
          </w:p>
        </w:tc>
      </w:tr>
      <w:tr>
        <w:tc>
          <w:tcPr>
            <w:tcW w:type="dxa" w:w="559"/>
          </w:tcPr>
          <w:p>
            <w:pPr>
              <w:pStyle w:val="null5"/>
              <w:jc w:val="left"/>
            </w:pPr>
            <w:r>
              <w:rPr>
                <w:rFonts w:ascii="仿宋_GB2312" w:hAnsi="仿宋_GB2312" w:cs="仿宋_GB2312" w:eastAsia="仿宋_GB2312"/>
              </w:rPr>
              <w:t>2</w:t>
            </w:r>
          </w:p>
        </w:tc>
        <w:tc>
          <w:tcPr>
            <w:tcW w:type="dxa" w:w="2396"/>
          </w:tcPr>
          <w:p>
            <w:pPr>
              <w:pStyle w:val="null5"/>
              <w:jc w:val="left"/>
            </w:pPr>
            <w:r>
              <w:rPr>
                <w:rFonts w:ascii="仿宋_GB2312" w:hAnsi="仿宋_GB2312" w:cs="仿宋_GB2312" w:eastAsia="仿宋_GB2312"/>
              </w:rPr>
              <w:t>优先采购环境标志产品</w:t>
            </w:r>
          </w:p>
        </w:tc>
        <w:tc>
          <w:tcPr>
            <w:tcW w:type="dxa" w:w="2396"/>
          </w:tcPr>
          <w:p>
            <w:pPr>
              <w:pStyle w:val="null5"/>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5"/>
              <w:jc w:val="left"/>
            </w:pPr>
            <w:r>
              <w:rPr>
                <w:rFonts w:ascii="仿宋_GB2312" w:hAnsi="仿宋_GB2312" w:cs="仿宋_GB2312" w:eastAsia="仿宋_GB2312"/>
              </w:rPr>
              <w:t>节能、环境产品</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山东石油化工学院药物分析实验室新建项目响应报价低于全部通过符合性审查供应商响应报价平均值50%的，即山东石油化工学院药物分析实验室新建项目响应报价&lt;全部通过符合性审查供应商响应报价平均值×50%。</w:t>
              <w:br/>
              <w:t>（2）山东石油化工学院药物分析实验室新建项目响应报价低于通过符合性审查且报价次低供应商响应报价50%的，即山东石油化工学院药物分析实验室新建项目响应报价&lt;通过符合性审查且报价次低供应商响应报价×50%。</w:t>
              <w:br/>
              <w:t>（3）山东石油化工学院药物分析实验室新建项目响应报价低于最高限价45%的，即山东石油化工学院药物分析实验室新建项目响应报价&lt;最高限价×45%。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ind w:firstLine="480"/>
        <w:jc w:val="left"/>
      </w:pPr>
      <w:r>
        <w:rPr>
          <w:rFonts w:ascii="仿宋_GB2312" w:hAnsi="仿宋_GB2312" w:cs="仿宋_GB2312" w:eastAsia="仿宋_GB2312"/>
        </w:rPr>
        <w:t>本国产品</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1038"/>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教学仪器</w:t>
            </w:r>
          </w:p>
        </w:tc>
        <w:tc>
          <w:tcPr>
            <w:tcW w:type="dxa" w:w="3115"/>
          </w:tcPr>
          <w:p>
            <w:pPr>
              <w:pStyle w:val="null5"/>
              <w:jc w:val="left"/>
            </w:pPr>
            <w:r>
              <w:rPr>
                <w:rFonts w:ascii="仿宋_GB2312" w:hAnsi="仿宋_GB2312" w:cs="仿宋_GB2312" w:eastAsia="仿宋_GB2312"/>
              </w:rPr>
              <w:t>红外分光光度计等设备</w:t>
            </w:r>
          </w:p>
        </w:tc>
        <w:tc>
          <w:tcPr>
            <w:tcW w:type="dxa" w:w="2076"/>
          </w:tcPr>
          <w:p>
            <w:pPr>
              <w:pStyle w:val="null5"/>
              <w:jc w:val="left"/>
            </w:pPr>
            <w:r>
              <w:rPr>
                <w:rFonts w:ascii="仿宋_GB2312" w:hAnsi="仿宋_GB2312" w:cs="仿宋_GB2312" w:eastAsia="仿宋_GB2312"/>
              </w:rPr>
              <w:t>紫外分光光度计、烘箱、pH计、多媒体演示设备、低温高速离心机、氢气发生器、操作面、红外分光光度计（核心产品）、荧光分光光度计</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5.5.终止采购活动</w:t>
      </w:r>
    </w:p>
    <w:p>
      <w:pPr>
        <w:pStyle w:val="null5"/>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5"/>
        <w:ind w:firstLine="480"/>
        <w:jc w:val="left"/>
      </w:pPr>
      <w:r>
        <w:rPr>
          <w:rFonts w:ascii="仿宋_GB2312" w:hAnsi="仿宋_GB2312" w:cs="仿宋_GB2312" w:eastAsia="仿宋_GB2312"/>
        </w:rPr>
        <w:t>一 、因情况变化，不再符合规定的竞争性磋商采购方式适用情形的；</w:t>
      </w:r>
    </w:p>
    <w:p>
      <w:pPr>
        <w:pStyle w:val="null5"/>
        <w:ind w:firstLine="480"/>
        <w:jc w:val="left"/>
      </w:pPr>
      <w:r>
        <w:rPr>
          <w:rFonts w:ascii="仿宋_GB2312" w:hAnsi="仿宋_GB2312" w:cs="仿宋_GB2312" w:eastAsia="仿宋_GB2312"/>
        </w:rPr>
        <w:t>二、出现影响采购公正的违法、违规行为的；</w:t>
      </w:r>
    </w:p>
    <w:p>
      <w:pPr>
        <w:pStyle w:val="null5"/>
        <w:ind w:firstLine="480"/>
        <w:jc w:val="left"/>
      </w:pPr>
      <w:r>
        <w:rPr>
          <w:rFonts w:ascii="仿宋_GB2312" w:hAnsi="仿宋_GB2312" w:cs="仿宋_GB2312" w:eastAsia="仿宋_GB2312"/>
        </w:rPr>
        <w:t>三、在采购过程中符合竞争要求的供应商或者报价未超过采购预算的供应商不足 3 家的，但《政府采购非招标采购方式管理办法》第二十七条第二款规定的情形除外。</w:t>
      </w:r>
    </w:p>
    <w:p>
      <w:pPr>
        <w:pStyle w:val="null5"/>
        <w:ind w:firstLine="480"/>
        <w:jc w:val="left"/>
        <w:outlineLvl w:val="2"/>
      </w:pPr>
      <w:r>
        <w:rPr>
          <w:rFonts w:ascii="仿宋_GB2312" w:hAnsi="仿宋_GB2312" w:cs="仿宋_GB2312" w:eastAsia="仿宋_GB2312"/>
          <w:sz w:val="28"/>
          <w:b/>
        </w:rPr>
        <w:t>5.6.确定成交供应商</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left"/>
        <w:outlineLvl w:val="2"/>
      </w:pPr>
      <w:r>
        <w:rPr>
          <w:rFonts w:ascii="仿宋_GB2312" w:hAnsi="仿宋_GB2312" w:cs="仿宋_GB2312" w:eastAsia="仿宋_GB2312"/>
          <w:sz w:val="28"/>
          <w:b/>
        </w:rPr>
        <w:t>5.7.磋商小组义务</w:t>
      </w:r>
    </w:p>
    <w:p>
      <w:pPr>
        <w:pStyle w:val="null5"/>
        <w:ind w:firstLine="480"/>
        <w:jc w:val="left"/>
      </w:pPr>
      <w:r>
        <w:rPr>
          <w:rFonts w:ascii="仿宋_GB2312" w:hAnsi="仿宋_GB2312" w:cs="仿宋_GB2312" w:eastAsia="仿宋_GB2312"/>
        </w:rPr>
        <w:t>磋商小组在政府采购活动中应当履行下列义务：</w:t>
      </w:r>
    </w:p>
    <w:p>
      <w:pPr>
        <w:pStyle w:val="null5"/>
        <w:ind w:firstLine="480"/>
        <w:jc w:val="left"/>
      </w:pPr>
      <w:r>
        <w:rPr>
          <w:rFonts w:ascii="仿宋_GB2312" w:hAnsi="仿宋_GB2312" w:cs="仿宋_GB2312" w:eastAsia="仿宋_GB2312"/>
        </w:rPr>
        <w:t>一、遵守评审工作纪律；</w:t>
      </w:r>
    </w:p>
    <w:p>
      <w:pPr>
        <w:pStyle w:val="null5"/>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三、不得泄露评审文件、评审情况和在评审过程中获悉的商业秘密；</w:t>
      </w:r>
    </w:p>
    <w:p>
      <w:pPr>
        <w:pStyle w:val="null5"/>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5"/>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5"/>
        <w:ind w:firstLine="480"/>
        <w:jc w:val="left"/>
      </w:pPr>
      <w:r>
        <w:rPr>
          <w:rFonts w:ascii="仿宋_GB2312" w:hAnsi="仿宋_GB2312" w:cs="仿宋_GB2312" w:eastAsia="仿宋_GB2312"/>
        </w:rPr>
        <w:t>六、配合答复处理供应商的询问、质疑和投诉等事项；</w:t>
      </w:r>
    </w:p>
    <w:p>
      <w:pPr>
        <w:pStyle w:val="null5"/>
        <w:ind w:firstLine="480"/>
        <w:jc w:val="left"/>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5.8.磋商小组成员工作纪律</w:t>
      </w:r>
    </w:p>
    <w:p>
      <w:pPr>
        <w:pStyle w:val="null5"/>
        <w:ind w:firstLine="480"/>
        <w:jc w:val="left"/>
      </w:pPr>
      <w:r>
        <w:rPr>
          <w:rFonts w:ascii="仿宋_GB2312" w:hAnsi="仿宋_GB2312" w:cs="仿宋_GB2312" w:eastAsia="仿宋_GB2312"/>
        </w:rPr>
        <w:t>磋商小组成员在政府采购活动中应当遵守下列工作纪律：</w:t>
      </w:r>
    </w:p>
    <w:p>
      <w:pPr>
        <w:pStyle w:val="null5"/>
        <w:ind w:firstLine="480"/>
        <w:jc w:val="left"/>
      </w:pPr>
      <w:r>
        <w:rPr>
          <w:rFonts w:ascii="仿宋_GB2312" w:hAnsi="仿宋_GB2312" w:cs="仿宋_GB2312" w:eastAsia="仿宋_GB2312"/>
        </w:rPr>
        <w:t>一、严格遵守政府采购法律制度关于磋商小组成员回避的规定。</w:t>
      </w:r>
    </w:p>
    <w:p>
      <w:pPr>
        <w:pStyle w:val="null5"/>
        <w:ind w:firstLine="480"/>
        <w:jc w:val="left"/>
      </w:pPr>
      <w:r>
        <w:rPr>
          <w:rFonts w:ascii="仿宋_GB2312" w:hAnsi="仿宋_GB2312" w:cs="仿宋_GB2312" w:eastAsia="仿宋_GB2312"/>
        </w:rPr>
        <w:t>二、评审前，应当将通讯工具或者相关电子设备交由代理机构统一保管。</w:t>
      </w:r>
    </w:p>
    <w:p>
      <w:pPr>
        <w:pStyle w:val="null5"/>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5"/>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left"/>
      </w:pPr>
      <w:r>
        <w:rPr>
          <w:rFonts w:ascii="仿宋_GB2312" w:hAnsi="仿宋_GB2312" w:cs="仿宋_GB2312" w:eastAsia="仿宋_GB2312"/>
        </w:rPr>
        <w:t>六、服从评审现场代理机构的现场秩序管理，接受评审现场监督人员的合法监督。</w:t>
      </w:r>
    </w:p>
    <w:p>
      <w:pPr>
        <w:pStyle w:val="null5"/>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详见附件：资格证明文件</w:t>
      </w:r>
    </w:p>
    <w:p>
      <w:pPr>
        <w:pStyle w:val="null5"/>
        <w:ind w:firstLine="960"/>
        <w:jc w:val="left"/>
      </w:pPr>
      <w:r>
        <w:rPr>
          <w:rFonts w:ascii="仿宋_GB2312" w:hAnsi="仿宋_GB2312" w:cs="仿宋_GB2312" w:eastAsia="仿宋_GB2312"/>
        </w:rPr>
        <w:t>详见附件：企业基本概况</w:t>
      </w:r>
    </w:p>
    <w:p>
      <w:pPr>
        <w:pStyle w:val="null5"/>
        <w:ind w:firstLine="960"/>
        <w:jc w:val="left"/>
      </w:pPr>
      <w:r>
        <w:rPr>
          <w:rFonts w:ascii="仿宋_GB2312" w:hAnsi="仿宋_GB2312" w:cs="仿宋_GB2312" w:eastAsia="仿宋_GB2312"/>
        </w:rPr>
        <w:t>详见附件：响应函</w:t>
      </w:r>
    </w:p>
    <w:p>
      <w:pPr>
        <w:pStyle w:val="null5"/>
        <w:ind w:firstLine="960"/>
        <w:jc w:val="left"/>
      </w:pPr>
      <w:r>
        <w:rPr>
          <w:rFonts w:ascii="仿宋_GB2312" w:hAnsi="仿宋_GB2312" w:cs="仿宋_GB2312" w:eastAsia="仿宋_GB2312"/>
        </w:rPr>
        <w:t>详见附件：不参与串通投标承诺书</w:t>
      </w:r>
    </w:p>
    <w:p>
      <w:pPr>
        <w:pStyle w:val="null5"/>
        <w:ind w:firstLine="960"/>
        <w:jc w:val="left"/>
      </w:pPr>
      <w:r>
        <w:rPr>
          <w:rFonts w:ascii="仿宋_GB2312" w:hAnsi="仿宋_GB2312" w:cs="仿宋_GB2312" w:eastAsia="仿宋_GB2312"/>
        </w:rPr>
        <w:t>详见附件：法定代表人身份证明、法定代表人授权委托书</w:t>
      </w:r>
    </w:p>
    <w:p>
      <w:pPr>
        <w:pStyle w:val="null5"/>
        <w:ind w:firstLine="960"/>
        <w:jc w:val="left"/>
      </w:pPr>
      <w:r>
        <w:rPr>
          <w:rFonts w:ascii="仿宋_GB2312" w:hAnsi="仿宋_GB2312" w:cs="仿宋_GB2312" w:eastAsia="仿宋_GB2312"/>
        </w:rPr>
        <w:t>详见附件：商务偏离表</w:t>
      </w:r>
    </w:p>
    <w:p>
      <w:pPr>
        <w:pStyle w:val="null5"/>
        <w:ind w:firstLine="960"/>
        <w:jc w:val="left"/>
      </w:pPr>
      <w:r>
        <w:rPr>
          <w:rFonts w:ascii="仿宋_GB2312" w:hAnsi="仿宋_GB2312" w:cs="仿宋_GB2312" w:eastAsia="仿宋_GB2312"/>
        </w:rPr>
        <w:t>详见附件：产品均为原厂正品承诺函</w:t>
      </w:r>
    </w:p>
    <w:p>
      <w:pPr>
        <w:pStyle w:val="null5"/>
        <w:ind w:firstLine="960"/>
        <w:jc w:val="left"/>
      </w:pPr>
      <w:r>
        <w:rPr>
          <w:rFonts w:ascii="仿宋_GB2312" w:hAnsi="仿宋_GB2312" w:cs="仿宋_GB2312" w:eastAsia="仿宋_GB2312"/>
        </w:rPr>
        <w:t>详见附件：业绩一览表及证明材料</w:t>
      </w:r>
    </w:p>
    <w:p>
      <w:pPr>
        <w:pStyle w:val="null5"/>
        <w:ind w:firstLine="960"/>
        <w:jc w:val="left"/>
      </w:pPr>
      <w:r>
        <w:rPr>
          <w:rFonts w:ascii="仿宋_GB2312" w:hAnsi="仿宋_GB2312" w:cs="仿宋_GB2312" w:eastAsia="仿宋_GB2312"/>
        </w:rPr>
        <w:t>详见附件：项目全生命周期成分分析</w:t>
      </w:r>
    </w:p>
    <w:p>
      <w:pPr>
        <w:pStyle w:val="null5"/>
        <w:ind w:firstLine="960"/>
        <w:jc w:val="left"/>
      </w:pPr>
      <w:r>
        <w:rPr>
          <w:rFonts w:ascii="仿宋_GB2312" w:hAnsi="仿宋_GB2312" w:cs="仿宋_GB2312" w:eastAsia="仿宋_GB2312"/>
        </w:rPr>
        <w:t>详见附件：售后服务能力与承诺</w:t>
      </w:r>
    </w:p>
    <w:p>
      <w:pPr>
        <w:pStyle w:val="null5"/>
        <w:ind w:firstLine="960"/>
        <w:jc w:val="left"/>
      </w:pPr>
      <w:r>
        <w:rPr>
          <w:rFonts w:ascii="仿宋_GB2312" w:hAnsi="仿宋_GB2312" w:cs="仿宋_GB2312" w:eastAsia="仿宋_GB2312"/>
        </w:rPr>
        <w:t>详见附件：节能、环境产品</w:t>
      </w:r>
    </w:p>
    <w:p>
      <w:pPr>
        <w:pStyle w:val="null5"/>
        <w:ind w:firstLine="960"/>
        <w:jc w:val="left"/>
      </w:pPr>
      <w:r>
        <w:rPr>
          <w:rFonts w:ascii="仿宋_GB2312" w:hAnsi="仿宋_GB2312" w:cs="仿宋_GB2312" w:eastAsia="仿宋_GB2312"/>
        </w:rPr>
        <w:t>详见附件：关于符合本国产品标准的声明函、产品成本占比承诺函</w:t>
      </w:r>
    </w:p>
    <w:p>
      <w:pPr>
        <w:pStyle w:val="null5"/>
        <w:ind w:firstLine="960"/>
        <w:jc w:val="left"/>
      </w:pPr>
      <w:r>
        <w:rPr>
          <w:rFonts w:ascii="仿宋_GB2312" w:hAnsi="仿宋_GB2312" w:cs="仿宋_GB2312" w:eastAsia="仿宋_GB2312"/>
        </w:rPr>
        <w:t>详见附件：供应商认为需要提交的其他文件</w:t>
      </w:r>
    </w:p>
    <w:p>
      <w:pPr>
        <w:pStyle w:val="null5"/>
        <w:ind w:firstLine="960"/>
        <w:jc w:val="left"/>
      </w:pPr>
      <w:r>
        <w:rPr>
          <w:rFonts w:ascii="仿宋_GB2312" w:hAnsi="仿宋_GB2312" w:cs="仿宋_GB2312" w:eastAsia="仿宋_GB2312"/>
        </w:rPr>
        <w:t>详见附件：货物清单（包括产品彩页等）</w:t>
      </w:r>
    </w:p>
    <w:p>
      <w:pPr>
        <w:pStyle w:val="null5"/>
        <w:ind w:firstLine="960"/>
        <w:jc w:val="left"/>
      </w:pPr>
      <w:r>
        <w:rPr>
          <w:rFonts w:ascii="仿宋_GB2312" w:hAnsi="仿宋_GB2312" w:cs="仿宋_GB2312" w:eastAsia="仿宋_GB2312"/>
        </w:rPr>
        <w:t>详见附件：技术偏离表</w:t>
      </w:r>
    </w:p>
    <w:p>
      <w:pPr>
        <w:pStyle w:val="null5"/>
        <w:ind w:firstLine="960"/>
        <w:jc w:val="left"/>
      </w:pPr>
      <w:r>
        <w:rPr>
          <w:rFonts w:ascii="仿宋_GB2312" w:hAnsi="仿宋_GB2312" w:cs="仿宋_GB2312" w:eastAsia="仿宋_GB2312"/>
        </w:rPr>
        <w:t>详见附件：供货方案、产品安装和调试方案</w:t>
      </w:r>
    </w:p>
    <w:p>
      <w:pPr>
        <w:pStyle w:val="null5"/>
        <w:ind w:firstLine="960"/>
        <w:jc w:val="left"/>
      </w:pPr>
      <w:r>
        <w:rPr>
          <w:rFonts w:ascii="仿宋_GB2312" w:hAnsi="仿宋_GB2312" w:cs="仿宋_GB2312" w:eastAsia="仿宋_GB2312"/>
        </w:rPr>
        <w:t>详见附件：质量管理措施</w:t>
      </w:r>
    </w:p>
    <w:p>
      <w:pPr>
        <w:pStyle w:val="null5"/>
        <w:ind w:firstLine="960"/>
        <w:jc w:val="left"/>
      </w:pPr>
      <w:r>
        <w:rPr>
          <w:rFonts w:ascii="仿宋_GB2312" w:hAnsi="仿宋_GB2312" w:cs="仿宋_GB2312" w:eastAsia="仿宋_GB2312"/>
        </w:rPr>
        <w:t>详见附件：风险控制方案</w:t>
      </w:r>
    </w:p>
    <w:p>
      <w:pPr>
        <w:pStyle w:val="null5"/>
        <w:ind w:firstLine="960"/>
        <w:jc w:val="left"/>
      </w:pPr>
      <w:r>
        <w:rPr>
          <w:rFonts w:ascii="仿宋_GB2312" w:hAnsi="仿宋_GB2312" w:cs="仿宋_GB2312" w:eastAsia="仿宋_GB2312"/>
        </w:rPr>
        <w:t>详见附件：应急处理方案</w:t>
      </w:r>
    </w:p>
    <w:p>
      <w:pPr>
        <w:pStyle w:val="null5"/>
        <w:ind w:firstLine="960"/>
        <w:jc w:val="left"/>
      </w:pPr>
      <w:r>
        <w:rPr>
          <w:rFonts w:ascii="仿宋_GB2312" w:hAnsi="仿宋_GB2312" w:cs="仿宋_GB2312" w:eastAsia="仿宋_GB2312"/>
        </w:rPr>
        <w:t>详见附件：培训及技术支持方案</w:t>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详见附件：政府采购履约验收书参考样本、山东省政府采购合同范本.docx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