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C0363"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smallCaps w:val="0"/>
          <w:color w:val="auto"/>
          <w:spacing w:val="0"/>
          <w:position w:val="0"/>
          <w:sz w:val="30"/>
          <w:szCs w:val="30"/>
          <w:highlight w:val="none"/>
          <w:u w:val="none"/>
        </w:rPr>
      </w:pPr>
      <w:bookmarkStart w:id="0" w:name="_Toc3941"/>
      <w:bookmarkStart w:id="1" w:name="_Toc9396_WPSOffice_Level2"/>
      <w:bookmarkStart w:id="2" w:name="_Toc21702_WPSOffice_Level2"/>
      <w:bookmarkStart w:id="3" w:name="_Toc1477_WPSOffice_Level2"/>
      <w:bookmarkStart w:id="4" w:name="_Toc26352"/>
      <w:bookmarkStart w:id="5" w:name="_Toc27681_WPSOffice_Level2"/>
      <w:bookmarkStart w:id="6" w:name="_Toc20055_WPSOffice_Level2"/>
      <w:bookmarkStart w:id="7" w:name="_Toc31147_WPSOffice_Level2"/>
      <w:bookmarkStart w:id="8" w:name="_Toc20640_WPSOffice_Level2"/>
      <w:bookmarkStart w:id="9" w:name="_Toc10094_WPSOffice_Level2"/>
      <w:r>
        <w:rPr>
          <w:rFonts w:hint="eastAsia" w:ascii="宋体" w:hAnsi="宋体" w:eastAsia="宋体" w:cs="宋体"/>
          <w:b/>
          <w:bCs/>
          <w:smallCaps w:val="0"/>
          <w:color w:val="auto"/>
          <w:spacing w:val="0"/>
          <w:position w:val="0"/>
          <w:sz w:val="30"/>
          <w:szCs w:val="30"/>
          <w:highlight w:val="none"/>
          <w:u w:val="none"/>
        </w:rPr>
        <w:t>商务偏离表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0B858E0">
      <w:pPr>
        <w:spacing w:line="360" w:lineRule="auto"/>
        <w:ind w:right="187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项目名称：</w:t>
      </w:r>
    </w:p>
    <w:p w14:paraId="50BDD3EF">
      <w:pPr>
        <w:spacing w:line="360" w:lineRule="auto"/>
        <w:ind w:right="187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</w:rPr>
        <w:t>项目编号：</w:t>
      </w:r>
    </w:p>
    <w:tbl>
      <w:tblPr>
        <w:tblStyle w:val="6"/>
        <w:tblW w:w="9699" w:type="dxa"/>
        <w:tblInd w:w="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0"/>
        <w:gridCol w:w="5763"/>
        <w:gridCol w:w="1498"/>
        <w:gridCol w:w="1568"/>
      </w:tblGrid>
      <w:tr w14:paraId="4DDE9A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7" w:hRule="atLeast"/>
        </w:trPr>
        <w:tc>
          <w:tcPr>
            <w:tcW w:w="870" w:type="dxa"/>
            <w:vMerge w:val="restart"/>
            <w:noWrap w:val="0"/>
            <w:vAlign w:val="center"/>
          </w:tcPr>
          <w:p w14:paraId="5C3FD48D">
            <w:pPr>
              <w:spacing w:line="360" w:lineRule="auto"/>
              <w:ind w:right="187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  <w:t>序号</w:t>
            </w:r>
          </w:p>
        </w:tc>
        <w:tc>
          <w:tcPr>
            <w:tcW w:w="5763" w:type="dxa"/>
            <w:noWrap w:val="0"/>
            <w:vAlign w:val="center"/>
          </w:tcPr>
          <w:p w14:paraId="0D5CC8A6">
            <w:pPr>
              <w:spacing w:line="360" w:lineRule="auto"/>
              <w:ind w:right="187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eastAsia="zh-CN"/>
              </w:rPr>
              <w:t>磋商文件</w:t>
            </w: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  <w:t>条款</w:t>
            </w:r>
          </w:p>
        </w:tc>
        <w:tc>
          <w:tcPr>
            <w:tcW w:w="3066" w:type="dxa"/>
            <w:gridSpan w:val="2"/>
            <w:noWrap w:val="0"/>
            <w:vAlign w:val="center"/>
          </w:tcPr>
          <w:p w14:paraId="452D9A2A">
            <w:pPr>
              <w:spacing w:line="360" w:lineRule="auto"/>
              <w:ind w:right="187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  <w:t>投标偏离条款</w:t>
            </w:r>
          </w:p>
        </w:tc>
      </w:tr>
      <w:tr w14:paraId="65875F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7" w:hRule="atLeast"/>
        </w:trPr>
        <w:tc>
          <w:tcPr>
            <w:tcW w:w="870" w:type="dxa"/>
            <w:vMerge w:val="continue"/>
            <w:noWrap w:val="0"/>
            <w:vAlign w:val="top"/>
          </w:tcPr>
          <w:p w14:paraId="3290DFF1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5763" w:type="dxa"/>
            <w:noWrap w:val="0"/>
            <w:vAlign w:val="center"/>
          </w:tcPr>
          <w:p w14:paraId="3FE0416D">
            <w:pPr>
              <w:spacing w:line="360" w:lineRule="auto"/>
              <w:ind w:right="187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  <w:t>条款内容</w:t>
            </w:r>
          </w:p>
        </w:tc>
        <w:tc>
          <w:tcPr>
            <w:tcW w:w="1498" w:type="dxa"/>
            <w:noWrap w:val="0"/>
            <w:vAlign w:val="center"/>
          </w:tcPr>
          <w:p w14:paraId="7654F9F2">
            <w:pPr>
              <w:spacing w:line="360" w:lineRule="auto"/>
              <w:ind w:right="187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  <w:t>条款内容</w:t>
            </w:r>
          </w:p>
        </w:tc>
        <w:tc>
          <w:tcPr>
            <w:tcW w:w="1568" w:type="dxa"/>
            <w:noWrap w:val="0"/>
            <w:vAlign w:val="center"/>
          </w:tcPr>
          <w:p w14:paraId="415DB870">
            <w:pPr>
              <w:spacing w:line="360" w:lineRule="auto"/>
              <w:ind w:right="187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响应情况</w:t>
            </w:r>
          </w:p>
        </w:tc>
      </w:tr>
      <w:tr w14:paraId="0ED2AA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06" w:hRule="atLeast"/>
        </w:trPr>
        <w:tc>
          <w:tcPr>
            <w:tcW w:w="870" w:type="dxa"/>
            <w:noWrap w:val="0"/>
            <w:vAlign w:val="center"/>
          </w:tcPr>
          <w:p w14:paraId="70E3380A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1</w:t>
            </w:r>
          </w:p>
        </w:tc>
        <w:tc>
          <w:tcPr>
            <w:tcW w:w="5763" w:type="dxa"/>
            <w:noWrap w:val="0"/>
            <w:vAlign w:val="center"/>
          </w:tcPr>
          <w:p w14:paraId="2C1F416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合同支付方式：供应商按合同要求供货，设备安装调试完成、验收合格无质量问题及其他争议，采购人收到供应商发票后付至合同金额的95</w:t>
            </w:r>
            <w:bookmarkStart w:id="10" w:name="_GoBack"/>
            <w:bookmarkEnd w:id="10"/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%，一年后无息付清余款。</w:t>
            </w:r>
          </w:p>
        </w:tc>
        <w:tc>
          <w:tcPr>
            <w:tcW w:w="1498" w:type="dxa"/>
            <w:noWrap w:val="0"/>
            <w:vAlign w:val="top"/>
          </w:tcPr>
          <w:p w14:paraId="18A6D867">
            <w:pPr>
              <w:spacing w:line="360" w:lineRule="auto"/>
              <w:ind w:right="187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568" w:type="dxa"/>
            <w:noWrap w:val="0"/>
            <w:vAlign w:val="top"/>
          </w:tcPr>
          <w:p w14:paraId="1B795774">
            <w:pPr>
              <w:spacing w:line="360" w:lineRule="auto"/>
              <w:ind w:right="187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</w:p>
        </w:tc>
      </w:tr>
      <w:tr w14:paraId="71C84B2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8" w:hRule="atLeast"/>
        </w:trPr>
        <w:tc>
          <w:tcPr>
            <w:tcW w:w="870" w:type="dxa"/>
            <w:noWrap w:val="0"/>
            <w:vAlign w:val="center"/>
          </w:tcPr>
          <w:p w14:paraId="25592A93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2</w:t>
            </w:r>
          </w:p>
        </w:tc>
        <w:tc>
          <w:tcPr>
            <w:tcW w:w="5763" w:type="dxa"/>
            <w:noWrap w:val="0"/>
            <w:vAlign w:val="center"/>
          </w:tcPr>
          <w:p w14:paraId="77FD6DBD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交货</w:t>
            </w: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时间：合同签订后30日内完成全部货物的供货、安装、调试和培训工作，符合国家标准、行业规范和合同等相关文件的要求。</w:t>
            </w:r>
          </w:p>
        </w:tc>
        <w:tc>
          <w:tcPr>
            <w:tcW w:w="1498" w:type="dxa"/>
            <w:noWrap w:val="0"/>
            <w:vAlign w:val="top"/>
          </w:tcPr>
          <w:p w14:paraId="65D47DA2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568" w:type="dxa"/>
            <w:noWrap w:val="0"/>
            <w:vAlign w:val="top"/>
          </w:tcPr>
          <w:p w14:paraId="25280143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</w:p>
        </w:tc>
      </w:tr>
      <w:tr w14:paraId="1ECA76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7" w:hRule="atLeast"/>
        </w:trPr>
        <w:tc>
          <w:tcPr>
            <w:tcW w:w="870" w:type="dxa"/>
            <w:noWrap w:val="0"/>
            <w:vAlign w:val="center"/>
          </w:tcPr>
          <w:p w14:paraId="160F1A8B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3</w:t>
            </w:r>
          </w:p>
        </w:tc>
        <w:tc>
          <w:tcPr>
            <w:tcW w:w="5763" w:type="dxa"/>
            <w:noWrap w:val="0"/>
            <w:vAlign w:val="center"/>
          </w:tcPr>
          <w:p w14:paraId="02D6EFA9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交货</w:t>
            </w: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地点：山东石油化工学院</w:t>
            </w:r>
          </w:p>
        </w:tc>
        <w:tc>
          <w:tcPr>
            <w:tcW w:w="1498" w:type="dxa"/>
            <w:noWrap w:val="0"/>
            <w:vAlign w:val="top"/>
          </w:tcPr>
          <w:p w14:paraId="7E7A118C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568" w:type="dxa"/>
            <w:noWrap w:val="0"/>
            <w:vAlign w:val="top"/>
          </w:tcPr>
          <w:p w14:paraId="1B98DB69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</w:p>
        </w:tc>
      </w:tr>
      <w:tr w14:paraId="5CE7F5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19" w:hRule="atLeast"/>
        </w:trPr>
        <w:tc>
          <w:tcPr>
            <w:tcW w:w="870" w:type="dxa"/>
            <w:noWrap w:val="0"/>
            <w:vAlign w:val="center"/>
          </w:tcPr>
          <w:p w14:paraId="1FD66DBF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4</w:t>
            </w:r>
          </w:p>
        </w:tc>
        <w:tc>
          <w:tcPr>
            <w:tcW w:w="5763" w:type="dxa"/>
            <w:noWrap w:val="0"/>
            <w:vAlign w:val="center"/>
          </w:tcPr>
          <w:p w14:paraId="457965DE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质保期：本项目免费质量保证期要求不低于2年，供应商亦可提报更⻓的质保期。本项目产品的质量质保期为自验收通过之日起，所有产品均需在质保期内免费上门。</w:t>
            </w:r>
          </w:p>
        </w:tc>
        <w:tc>
          <w:tcPr>
            <w:tcW w:w="1498" w:type="dxa"/>
            <w:noWrap w:val="0"/>
            <w:vAlign w:val="top"/>
          </w:tcPr>
          <w:p w14:paraId="3EB95EE9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568" w:type="dxa"/>
            <w:noWrap w:val="0"/>
            <w:vAlign w:val="top"/>
          </w:tcPr>
          <w:p w14:paraId="3697E42F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</w:p>
        </w:tc>
      </w:tr>
      <w:tr w14:paraId="740E9E9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7" w:hRule="atLeast"/>
        </w:trPr>
        <w:tc>
          <w:tcPr>
            <w:tcW w:w="870" w:type="dxa"/>
            <w:noWrap w:val="0"/>
            <w:vAlign w:val="center"/>
          </w:tcPr>
          <w:p w14:paraId="6A5DF822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5</w:t>
            </w:r>
          </w:p>
        </w:tc>
        <w:tc>
          <w:tcPr>
            <w:tcW w:w="5763" w:type="dxa"/>
            <w:noWrap w:val="0"/>
            <w:vAlign w:val="center"/>
          </w:tcPr>
          <w:p w14:paraId="541A2C17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合同履行期限：自本项目签订合同之日起至质保期结束。</w:t>
            </w:r>
          </w:p>
        </w:tc>
        <w:tc>
          <w:tcPr>
            <w:tcW w:w="1498" w:type="dxa"/>
            <w:noWrap w:val="0"/>
            <w:vAlign w:val="top"/>
          </w:tcPr>
          <w:p w14:paraId="4D840028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568" w:type="dxa"/>
            <w:noWrap w:val="0"/>
            <w:vAlign w:val="top"/>
          </w:tcPr>
          <w:p w14:paraId="6AD2811D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</w:p>
        </w:tc>
      </w:tr>
      <w:tr w14:paraId="50580E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1" w:hRule="atLeast"/>
        </w:trPr>
        <w:tc>
          <w:tcPr>
            <w:tcW w:w="870" w:type="dxa"/>
            <w:noWrap w:val="0"/>
            <w:vAlign w:val="center"/>
          </w:tcPr>
          <w:p w14:paraId="3C6E540E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6</w:t>
            </w:r>
          </w:p>
        </w:tc>
        <w:tc>
          <w:tcPr>
            <w:tcW w:w="5763" w:type="dxa"/>
            <w:noWrap w:val="0"/>
            <w:vAlign w:val="center"/>
          </w:tcPr>
          <w:p w14:paraId="6BC7D69E">
            <w:pPr>
              <w:tabs>
                <w:tab w:val="left" w:pos="1337"/>
              </w:tabs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  <w:r>
              <w:rPr>
                <w:rFonts w:hint="eastAsia" w:ascii="宋体" w:hAnsi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  <w:t>...</w:t>
            </w:r>
          </w:p>
        </w:tc>
        <w:tc>
          <w:tcPr>
            <w:tcW w:w="1498" w:type="dxa"/>
            <w:noWrap w:val="0"/>
            <w:vAlign w:val="top"/>
          </w:tcPr>
          <w:p w14:paraId="002480A2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</w:rPr>
            </w:pPr>
          </w:p>
        </w:tc>
        <w:tc>
          <w:tcPr>
            <w:tcW w:w="1568" w:type="dxa"/>
            <w:noWrap w:val="0"/>
            <w:vAlign w:val="top"/>
          </w:tcPr>
          <w:p w14:paraId="01942CEF">
            <w:pPr>
              <w:spacing w:line="360" w:lineRule="auto"/>
              <w:ind w:right="187"/>
              <w:rPr>
                <w:rFonts w:hint="eastAsia" w:ascii="宋体" w:hAnsi="宋体" w:eastAsia="宋体" w:cs="宋体"/>
                <w:smallCaps w:val="0"/>
                <w:color w:val="auto"/>
                <w:spacing w:val="0"/>
                <w:position w:val="0"/>
                <w:sz w:val="24"/>
                <w:lang w:val="en-US" w:eastAsia="zh-CN"/>
              </w:rPr>
            </w:pPr>
          </w:p>
        </w:tc>
      </w:tr>
    </w:tbl>
    <w:p w14:paraId="58FB87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注：1.对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文件商务内容的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均应在本表中填写，即使</w:t>
      </w:r>
      <w:r>
        <w:rPr>
          <w:rFonts w:hint="eastAsia" w:ascii="宋体" w:hAnsi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在</w:t>
      </w:r>
      <w:r>
        <w:rPr>
          <w:rFonts w:hint="eastAsia" w:ascii="宋体" w:hAnsi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文件的其他部分已对偏离进行了描述，也要填写本表；</w:t>
      </w:r>
    </w:p>
    <w:p w14:paraId="7CD8287A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2.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响应情况应填写正偏离或负偏离并说明偏离内容，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如无偏离要在本表中注明无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偏离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；</w:t>
      </w:r>
    </w:p>
    <w:p w14:paraId="2CA3FC7D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3.未逐条响应的，磋商小组有权视为负偏离，以此造成的不利后果责任自负。</w:t>
      </w:r>
    </w:p>
    <w:p w14:paraId="0C06CF5B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</w:p>
    <w:p w14:paraId="79AAC8E6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供应商名称（公章）：</w:t>
      </w:r>
    </w:p>
    <w:p w14:paraId="749BECC3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法定代表人/负责人或其委托代理人（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签字或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印鉴或签章）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：</w:t>
      </w:r>
    </w:p>
    <w:p w14:paraId="62ECF88D">
      <w:pPr>
        <w:spacing w:line="360" w:lineRule="auto"/>
        <w:ind w:firstLine="480" w:firstLineChars="200"/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mallCaps w:val="0"/>
          <w:color w:val="auto"/>
          <w:spacing w:val="0"/>
          <w:position w:val="0"/>
          <w:sz w:val="24"/>
          <w:szCs w:val="24"/>
          <w:highlight w:val="none"/>
        </w:rPr>
        <w:t>日</w:t>
      </w:r>
    </w:p>
    <w:p w14:paraId="0D055469">
      <w:pPr>
        <w:spacing w:line="360" w:lineRule="auto"/>
        <w:ind w:firstLine="420" w:firstLineChars="200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D5F76"/>
    <w:rsid w:val="0426584D"/>
    <w:rsid w:val="044F7FB9"/>
    <w:rsid w:val="045F338D"/>
    <w:rsid w:val="05163404"/>
    <w:rsid w:val="057C2025"/>
    <w:rsid w:val="05A351AD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1A58F2"/>
    <w:rsid w:val="137D4206"/>
    <w:rsid w:val="1735000C"/>
    <w:rsid w:val="17B349A2"/>
    <w:rsid w:val="18216AA9"/>
    <w:rsid w:val="187230AA"/>
    <w:rsid w:val="1E486BF3"/>
    <w:rsid w:val="20426865"/>
    <w:rsid w:val="216B2BCB"/>
    <w:rsid w:val="217553A8"/>
    <w:rsid w:val="22727501"/>
    <w:rsid w:val="26EE68AF"/>
    <w:rsid w:val="272603EF"/>
    <w:rsid w:val="291154D5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09F4ECE"/>
    <w:rsid w:val="41DE5EEE"/>
    <w:rsid w:val="41E16846"/>
    <w:rsid w:val="42284B92"/>
    <w:rsid w:val="4593411B"/>
    <w:rsid w:val="481E40F1"/>
    <w:rsid w:val="49C8629E"/>
    <w:rsid w:val="49E109CE"/>
    <w:rsid w:val="4AC13EF8"/>
    <w:rsid w:val="4AE109A4"/>
    <w:rsid w:val="4B6D7D4C"/>
    <w:rsid w:val="4C6838D2"/>
    <w:rsid w:val="4CF360AE"/>
    <w:rsid w:val="4E0C1145"/>
    <w:rsid w:val="50137E07"/>
    <w:rsid w:val="5218570F"/>
    <w:rsid w:val="53EF6317"/>
    <w:rsid w:val="566F5E4A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1F6D97"/>
    <w:rsid w:val="63825477"/>
    <w:rsid w:val="63A84287"/>
    <w:rsid w:val="644F2E1E"/>
    <w:rsid w:val="647B6CD6"/>
    <w:rsid w:val="64A159A7"/>
    <w:rsid w:val="64B03F04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ADB7A47"/>
    <w:rsid w:val="6B720995"/>
    <w:rsid w:val="6DF93260"/>
    <w:rsid w:val="703620CE"/>
    <w:rsid w:val="7167061B"/>
    <w:rsid w:val="71D60F68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3">
    <w:name w:val="Body Text Indent"/>
    <w:basedOn w:val="1"/>
    <w:next w:val="1"/>
    <w:qFormat/>
    <w:uiPriority w:val="0"/>
    <w:pPr>
      <w:spacing w:after="120"/>
      <w:ind w:left="420"/>
    </w:pPr>
    <w:rPr>
      <w:szCs w:val="20"/>
    </w:rPr>
  </w:style>
  <w:style w:type="paragraph" w:styleId="4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styleId="5">
    <w:name w:val="Body Text Indent 2"/>
    <w:basedOn w:val="1"/>
    <w:qFormat/>
    <w:uiPriority w:val="0"/>
    <w:pPr>
      <w:ind w:firstLine="600" w:firstLineChars="200"/>
    </w:pPr>
    <w:rPr>
      <w:rFonts w:ascii="仿宋_GB2312" w:eastAsia="仿宋_GB2312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507</Words>
  <Characters>522</Characters>
  <Lines>0</Lines>
  <Paragraphs>0</Paragraphs>
  <TotalTime>0</TotalTime>
  <ScaleCrop>false</ScaleCrop>
  <LinksUpToDate>false</LinksUpToDate>
  <CharactersWithSpaces>536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印成魏</cp:lastModifiedBy>
  <dcterms:modified xsi:type="dcterms:W3CDTF">2026-08-19T01:32:55Z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eyJoZGlkIjoiYzkyM2JlNTIzYzEyYTlmOGNhYzhhM2UzZDI2MjZlMDUiLCJ1c2VySWQiOiIxNDgxNzc1MjMyIn0=</vt:lpwstr>
  </property>
</Properties>
</file>