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竞争性磋商文件</w:t>
      </w:r>
    </w:p>
    <w:p>
      <w:pPr>
        <w:pStyle w:val="null5"/>
        <w:jc w:val="center"/>
        <w:outlineLvl w:val="0"/>
      </w:pPr>
      <w:r>
        <w:rPr>
          <w:rFonts w:ascii="仿宋_GB2312" w:hAnsi="仿宋_GB2312" w:cs="仿宋_GB2312" w:eastAsia="仿宋_GB2312"/>
          <w:sz w:val="48"/>
          <w:b/>
        </w:rPr>
        <w:t>（货物类）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山东石油化工学院2026年地球科学与工程学院教学实验设备采购项目地球物理采集实验室(一期)</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SDGP370000000202602007599</w:t>
      </w:r>
    </w:p>
    <w:p>
      <w:pPr>
        <w:pStyle w:val="null5"/>
        <w:jc w:val="left"/>
        <w:outlineLvl w:val="2"/>
      </w:pPr>
      <w:r>
        <w:rPr>
          <w:rFonts w:ascii="仿宋_GB2312" w:hAnsi="仿宋_GB2312" w:cs="仿宋_GB2312" w:eastAsia="仿宋_GB2312"/>
          <w:sz w:val="28"/>
          <w:b/>
        </w:rPr>
        <w:t>采购人：</w:t>
      </w:r>
      <w:r>
        <w:rPr>
          <w:rFonts w:ascii="仿宋_GB2312" w:hAnsi="仿宋_GB2312" w:cs="仿宋_GB2312" w:eastAsia="仿宋_GB2312"/>
          <w:sz w:val="28"/>
          <w:b/>
        </w:rPr>
        <w:t>山东石油化工学院</w:t>
      </w:r>
    </w:p>
    <w:p>
      <w:pPr>
        <w:pStyle w:val="null5"/>
        <w:jc w:val="center"/>
        <w:outlineLvl w:val="2"/>
      </w:pPr>
      <w:r>
        <w:rPr>
          <w:rFonts w:ascii="仿宋_GB2312" w:hAnsi="仿宋_GB2312" w:cs="仿宋_GB2312" w:eastAsia="仿宋_GB2312"/>
          <w:sz w:val="28"/>
          <w:b/>
        </w:rPr>
        <w:t>采购代理机构：</w:t>
      </w:r>
      <w:r>
        <w:rPr>
          <w:rFonts w:ascii="仿宋_GB2312" w:hAnsi="仿宋_GB2312" w:cs="仿宋_GB2312" w:eastAsia="仿宋_GB2312"/>
          <w:sz w:val="28"/>
          <w:b/>
        </w:rPr>
        <w:t>山东浩锐工程咨询有限公司</w:t>
      </w:r>
    </w:p>
    <w:p>
      <w:pPr>
        <w:pStyle w:val="null5"/>
        <w:jc w:val="center"/>
      </w:pPr>
      <w:r>
        <w:rPr>
          <w:rFonts w:ascii="仿宋_GB2312" w:hAnsi="仿宋_GB2312" w:cs="仿宋_GB2312" w:eastAsia="仿宋_GB2312"/>
        </w:rPr>
        <w:t>2026年08月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竞争性磋商邀请</w:t>
      </w:r>
    </w:p>
    <w:p>
      <w:pPr>
        <w:pStyle w:val="null5"/>
        <w:ind w:firstLine="480"/>
        <w:jc w:val="left"/>
      </w:pPr>
      <w:r>
        <w:rPr>
          <w:rFonts w:ascii="仿宋_GB2312" w:hAnsi="仿宋_GB2312" w:cs="仿宋_GB2312" w:eastAsia="仿宋_GB2312"/>
        </w:rPr>
        <w:t>山东浩锐工程咨询有限公司</w:t>
      </w:r>
      <w:r>
        <w:rPr>
          <w:rFonts w:ascii="仿宋_GB2312" w:hAnsi="仿宋_GB2312" w:cs="仿宋_GB2312" w:eastAsia="仿宋_GB2312"/>
        </w:rPr>
        <w:t xml:space="preserve"> （以下简称“代理机构”）受</w:t>
      </w:r>
      <w:r>
        <w:rPr>
          <w:rFonts w:ascii="仿宋_GB2312" w:hAnsi="仿宋_GB2312" w:cs="仿宋_GB2312" w:eastAsia="仿宋_GB2312"/>
        </w:rPr>
        <w:t>山东石油化工学院</w:t>
      </w:r>
      <w:r>
        <w:rPr>
          <w:rFonts w:ascii="仿宋_GB2312" w:hAnsi="仿宋_GB2312" w:cs="仿宋_GB2312" w:eastAsia="仿宋_GB2312"/>
        </w:rPr>
        <w:t xml:space="preserve"> （以下简称“采购人”）委托，对</w:t>
      </w:r>
      <w:r>
        <w:rPr>
          <w:rFonts w:ascii="仿宋_GB2312" w:hAnsi="仿宋_GB2312" w:cs="仿宋_GB2312" w:eastAsia="仿宋_GB2312"/>
        </w:rPr>
        <w:t>山东石油化工学院2026年地球科学与工程学院教学实验设备采购项目地球物理采集实验室(一期)</w:t>
      </w:r>
      <w:r>
        <w:rPr>
          <w:rFonts w:ascii="仿宋_GB2312" w:hAnsi="仿宋_GB2312" w:cs="仿宋_GB2312" w:eastAsia="仿宋_GB2312"/>
        </w:rPr>
        <w:t>采用竞争性磋商方式进行采购，兹邀请潜在供应商参加。本项目为山东省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1.1.项目编号：</w:t>
      </w:r>
      <w:r>
        <w:rPr>
          <w:rFonts w:ascii="仿宋_GB2312" w:hAnsi="仿宋_GB2312" w:cs="仿宋_GB2312" w:eastAsia="仿宋_GB2312"/>
          <w:sz w:val="28"/>
          <w:b/>
        </w:rPr>
        <w:t>SDGP370000000202602007599</w:t>
      </w:r>
    </w:p>
    <w:p>
      <w:pPr>
        <w:pStyle w:val="null5"/>
        <w:ind w:firstLine="480"/>
        <w:jc w:val="left"/>
        <w:outlineLvl w:val="2"/>
      </w:pPr>
      <w:r>
        <w:rPr>
          <w:rFonts w:ascii="仿宋_GB2312" w:hAnsi="仿宋_GB2312" w:cs="仿宋_GB2312" w:eastAsia="仿宋_GB2312"/>
          <w:sz w:val="28"/>
          <w:b/>
        </w:rPr>
        <w:t xml:space="preserve">1.2.项目名称： </w:t>
      </w:r>
      <w:r>
        <w:rPr>
          <w:rFonts w:ascii="仿宋_GB2312" w:hAnsi="仿宋_GB2312" w:cs="仿宋_GB2312" w:eastAsia="仿宋_GB2312"/>
          <w:sz w:val="28"/>
          <w:b/>
        </w:rPr>
        <w:t>山东石油化工学院2026年地球科学与工程学院教学实验设备采购项目地球物理采集实验室(一期)</w:t>
      </w:r>
    </w:p>
    <w:p>
      <w:pPr>
        <w:pStyle w:val="null5"/>
        <w:ind w:firstLine="480"/>
        <w:jc w:val="left"/>
        <w:outlineLvl w:val="2"/>
      </w:pPr>
      <w:r>
        <w:rPr>
          <w:rFonts w:ascii="仿宋_GB2312" w:hAnsi="仿宋_GB2312" w:cs="仿宋_GB2312" w:eastAsia="仿宋_GB2312"/>
          <w:sz w:val="28"/>
          <w:b/>
        </w:rPr>
        <w:t>1.3.项目简介</w:t>
      </w:r>
    </w:p>
    <w:p>
      <w:pPr>
        <w:pStyle w:val="null5"/>
        <w:ind w:firstLine="480"/>
        <w:jc w:val="left"/>
      </w:pPr>
      <w:r>
        <w:rPr>
          <w:rFonts w:ascii="仿宋_GB2312" w:hAnsi="仿宋_GB2312" w:cs="仿宋_GB2312" w:eastAsia="仿宋_GB2312"/>
        </w:rPr>
        <w:t>本项目为2026年地球科学与工程学院教学实验设备采购项目--地球物理采集实验室(一期)，共分为1个包，具体采购内容及技术要求详见采购文件具体要求。</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本项目以公告的方式邀请供应商，公告在“中国山东政府采购网”（www.ccgp-shandong.gov.cn）发布。</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供应商具有独立承担民事责任的能力：提供有效的营业执照或者事业单位法人证书或者民办非企业单位、社会团体法人等的登记证书等证明文件或者自然人的身份证明（自然人身份证明仅在自然人作为投标主体时适用）。（提供原件扫描件或复印件加盖公章）</w:t>
      </w:r>
    </w:p>
    <w:p>
      <w:pPr>
        <w:pStyle w:val="null5"/>
        <w:jc w:val="left"/>
      </w:pPr>
      <w:r>
        <w:rPr>
          <w:rFonts w:ascii="仿宋_GB2312" w:hAnsi="仿宋_GB2312" w:cs="仿宋_GB2312" w:eastAsia="仿宋_GB2312"/>
        </w:rPr>
        <w:t>2、供应商具有良好的商业信誉和健全的财务会计制度：提供2025年度由有法定资格的中介机构出具的财务审计报告。供应商未提供财务审计报告的，应当提供基本开户银行出具的资信证明，中小企业可提供财政部门认可的政府采购专业担保机构出具的投标担保函。（提供原件扫描件或复印件加盖公章）</w:t>
      </w:r>
    </w:p>
    <w:p>
      <w:pPr>
        <w:pStyle w:val="null5"/>
        <w:jc w:val="left"/>
      </w:pPr>
      <w:r>
        <w:rPr>
          <w:rFonts w:ascii="仿宋_GB2312" w:hAnsi="仿宋_GB2312" w:cs="仿宋_GB2312" w:eastAsia="仿宋_GB2312"/>
        </w:rPr>
        <w:t>3、供应商具有履行合同所必需的设备和专业技术能力：履行本项目合同所必需的设备和专业技术能力的证明。（提供原件扫描件或复印件加盖公章）</w:t>
      </w:r>
    </w:p>
    <w:p>
      <w:pPr>
        <w:pStyle w:val="null5"/>
        <w:jc w:val="left"/>
      </w:pPr>
      <w:r>
        <w:rPr>
          <w:rFonts w:ascii="仿宋_GB2312" w:hAnsi="仿宋_GB2312" w:cs="仿宋_GB2312" w:eastAsia="仿宋_GB2312"/>
        </w:rPr>
        <w:t>4、供应商具有依法缴纳税收和社会保障资金的良好记录：（1）提供依法缴纳近半年内任意一个月税收的凭据（或纳税申报）或依法缴纳税收和社会保障资金承诺函；（2）提供依法缴纳近半年内任意一个月社会保险的凭据或依法缴纳税收和社会保障资金承诺函；（3）依法免税或不需要缴纳社会保险的供应商，应提供相应文件证明其依法免税或不需要缴纳社会保险。注：（1）在山东省境内注册的供应商参与本项目，且可通过“中国山东政府采购网”查询缴纳税收和社会保障资金信息的，可在响应文件中提供《依法缴纳税收和社会保障资金承诺函》。供应商可登录“中国山东政府采购网”(www.ccgp-shandong.gov.cn)，在“开评标管理”栏目中查询本单位在山东省缴纳税收和社会保障资金的情况。（2）以下情形不适用提供《依法缴纳税收和社会保障资金承诺函》，应按照竞争性磋商文件要求提供相关证明材料。①供应商登录“中国山东政府采购网”查询缴纳税收和社会保障资金信息反馈无相关信息的。②依法免税或不需要缴纳社会保障资金的。③未在山东省内缴纳税收和社会保障资金的供应商。④其他不适用依法缴纳税收和社会保障资金承诺制的情形。（提供原件扫描件或复印件加盖公章）</w:t>
      </w:r>
    </w:p>
    <w:p>
      <w:pPr>
        <w:pStyle w:val="null5"/>
        <w:jc w:val="left"/>
      </w:pPr>
      <w:r>
        <w:rPr>
          <w:rFonts w:ascii="仿宋_GB2312" w:hAnsi="仿宋_GB2312" w:cs="仿宋_GB2312" w:eastAsia="仿宋_GB2312"/>
        </w:rPr>
        <w:t>5、供应商参加政府采购活动前三年内，在经营活动中没有重大违法记录：参加本次政府采购活动前近三年内在经营活动中没有重大违法记录的书面声明函。（提供原件扫描件或复印件加盖公章）</w:t>
      </w:r>
    </w:p>
    <w:p>
      <w:pPr>
        <w:pStyle w:val="null5"/>
        <w:jc w:val="left"/>
      </w:pPr>
      <w:r>
        <w:rPr>
          <w:rFonts w:ascii="仿宋_GB2312" w:hAnsi="仿宋_GB2312" w:cs="仿宋_GB2312" w:eastAsia="仿宋_GB2312"/>
        </w:rPr>
        <w:t>6、供应商无不良信用记录：未被列入信用中国网站（www.creditchina.gov.cn）、中国政府采购网（www.ccgp.gov.cn）渠道信用记录失信被执行人、重大税收违法案件当事人名单、政府采购严重违法失信行为记录名单。本项由采购代理机构现场核查。</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采购包1：不属于专门面向中小企业采购。</w:t>
      </w:r>
    </w:p>
    <w:p>
      <w:pPr>
        <w:pStyle w:val="null5"/>
        <w:ind w:firstLine="480"/>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ind w:firstLine="480"/>
        <w:jc w:val="left"/>
        <w:outlineLvl w:val="2"/>
      </w:pPr>
      <w:r>
        <w:rPr>
          <w:rFonts w:ascii="仿宋_GB2312" w:hAnsi="仿宋_GB2312" w:cs="仿宋_GB2312" w:eastAsia="仿宋_GB2312"/>
          <w:sz w:val="28"/>
          <w:b/>
        </w:rPr>
        <w:t>1.6.磋商文件获取时间、方式及地址</w:t>
      </w:r>
    </w:p>
    <w:p>
      <w:pPr>
        <w:pStyle w:val="null5"/>
        <w:ind w:firstLine="480"/>
        <w:jc w:val="left"/>
      </w:pPr>
      <w:r>
        <w:rPr>
          <w:rFonts w:ascii="仿宋_GB2312" w:hAnsi="仿宋_GB2312" w:cs="仿宋_GB2312" w:eastAsia="仿宋_GB2312"/>
        </w:rPr>
        <w:t>一、磋商文件获取时间、方式及地址：详见采购公告。</w:t>
      </w:r>
    </w:p>
    <w:p>
      <w:pPr>
        <w:pStyle w:val="null5"/>
        <w:ind w:firstLine="480"/>
        <w:jc w:val="both"/>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5"/>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1.7.提交响应文件截止时间及开启时间、方式、地点</w:t>
      </w:r>
    </w:p>
    <w:p>
      <w:pPr>
        <w:pStyle w:val="null5"/>
        <w:ind w:firstLine="480"/>
        <w:jc w:val="left"/>
      </w:pPr>
      <w:r>
        <w:rPr>
          <w:rFonts w:ascii="仿宋_GB2312" w:hAnsi="仿宋_GB2312" w:cs="仿宋_GB2312" w:eastAsia="仿宋_GB2312"/>
        </w:rPr>
        <w:t>一、提交响应文件截止时间及开启时间、方式、地点：详见采购公告。</w:t>
      </w:r>
    </w:p>
    <w:p>
      <w:pPr>
        <w:pStyle w:val="null5"/>
        <w:ind w:firstLine="480"/>
        <w:jc w:val="left"/>
      </w:pPr>
      <w:r>
        <w:rPr>
          <w:rFonts w:ascii="仿宋_GB2312" w:hAnsi="仿宋_GB2312" w:cs="仿宋_GB2312" w:eastAsia="仿宋_GB2312"/>
        </w:rPr>
        <w:t>二、供应商应当在提交响应文件截止时间前，通过交易系统提交响应文件。成功提交的，供应商将收到已提交响应文件的回执单。</w:t>
      </w:r>
    </w:p>
    <w:p>
      <w:pPr>
        <w:pStyle w:val="null5"/>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5"/>
        <w:ind w:firstLine="480"/>
        <w:jc w:val="left"/>
        <w:outlineLvl w:val="2"/>
      </w:pPr>
      <w:r>
        <w:rPr>
          <w:rFonts w:ascii="仿宋_GB2312" w:hAnsi="仿宋_GB2312" w:cs="仿宋_GB2312" w:eastAsia="仿宋_GB2312"/>
          <w:sz w:val="28"/>
          <w:b/>
        </w:rPr>
        <w:t>1.8.电子化采购相关事项</w:t>
      </w:r>
    </w:p>
    <w:p>
      <w:pPr>
        <w:pStyle w:val="null5"/>
        <w:ind w:firstLine="480"/>
        <w:jc w:val="left"/>
      </w:pPr>
      <w:r>
        <w:rPr>
          <w:rFonts w:ascii="仿宋_GB2312" w:hAnsi="仿宋_GB2312" w:cs="仿宋_GB2312" w:eastAsia="仿宋_GB2312"/>
        </w:rPr>
        <w:t>本项目实行电子化采购，供应商应当按照以下要求，参与本次电子化采购活动。</w:t>
      </w:r>
    </w:p>
    <w:p>
      <w:pPr>
        <w:pStyle w:val="null5"/>
        <w:ind w:firstLine="480"/>
        <w:jc w:val="left"/>
      </w:pPr>
      <w:r>
        <w:rPr>
          <w:rFonts w:ascii="仿宋_GB2312" w:hAnsi="仿宋_GB2312" w:cs="仿宋_GB2312" w:eastAsia="仿宋_GB2312"/>
        </w:rPr>
        <w:t>一、供应商参与本项目电子化采购活动的范围主要包括：获取磋商文件，编制、签章、加密并提交响应文件，参加开启、解密响应文件和电子评审等。</w:t>
      </w:r>
    </w:p>
    <w:p>
      <w:pPr>
        <w:pStyle w:val="null5"/>
        <w:ind w:firstLine="480"/>
        <w:jc w:val="left"/>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山东省政府采购电子交易系统供应商操作手册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山东石油化工学院</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东营市东营区北二路500号</w:t>
      </w:r>
    </w:p>
    <w:p>
      <w:pPr>
        <w:pStyle w:val="null5"/>
      </w:pPr>
      <w:r>
        <w:rPr>
          <w:rFonts w:ascii="仿宋_GB2312" w:hAnsi="仿宋_GB2312" w:cs="仿宋_GB2312" w:eastAsia="仿宋_GB2312"/>
        </w:rPr>
        <w:t xml:space="preserve"> 邮编： </w:t>
      </w:r>
      <w:r>
        <w:rPr>
          <w:rFonts w:ascii="仿宋_GB2312" w:hAnsi="仿宋_GB2312" w:cs="仿宋_GB2312" w:eastAsia="仿宋_GB2312"/>
        </w:rPr>
        <w:t>257061</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山东石油化工学院</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0546-7396500</w:t>
      </w:r>
    </w:p>
    <w:p>
      <w:pPr>
        <w:pStyle w:val="null5"/>
        <w:ind w:firstLine="480"/>
        <w:jc w:val="left"/>
      </w:pPr>
      <w:r>
        <w:rPr>
          <w:rFonts w:ascii="仿宋_GB2312" w:hAnsi="仿宋_GB2312" w:cs="仿宋_GB2312" w:eastAsia="仿宋_GB2312"/>
        </w:rPr>
        <w:t xml:space="preserve">代理机构： </w:t>
      </w:r>
      <w:r>
        <w:rPr>
          <w:rFonts w:ascii="仿宋_GB2312" w:hAnsi="仿宋_GB2312" w:cs="仿宋_GB2312" w:eastAsia="仿宋_GB2312"/>
        </w:rPr>
        <w:t>山东浩锐工程咨询有限公司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山东省东营市东营区东二路 239 号</w:t>
      </w:r>
    </w:p>
    <w:p>
      <w:pPr>
        <w:pStyle w:val="null5"/>
      </w:pPr>
      <w:r>
        <w:rPr>
          <w:rFonts w:ascii="仿宋_GB2312" w:hAnsi="仿宋_GB2312" w:cs="仿宋_GB2312" w:eastAsia="仿宋_GB2312"/>
        </w:rPr>
        <w:t xml:space="preserve"> 邮编： </w:t>
      </w:r>
      <w:r>
        <w:rPr>
          <w:rFonts w:ascii="仿宋_GB2312" w:hAnsi="仿宋_GB2312" w:cs="仿宋_GB2312" w:eastAsia="仿宋_GB2312"/>
        </w:rPr>
        <w:t>257000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高女士</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0546-7766671</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ind w:firstLine="480"/>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采购包1：890,000.00元</w:t>
            </w:r>
          </w:p>
          <w:p>
            <w:pPr>
              <w:pStyle w:val="null5"/>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评审方法</w:t>
            </w:r>
          </w:p>
        </w:tc>
        <w:tc>
          <w:tcPr>
            <w:tcW w:type="dxa" w:w="5814"/>
          </w:tcPr>
          <w:p>
            <w:pPr>
              <w:pStyle w:val="null5"/>
              <w:jc w:val="left"/>
            </w:pPr>
            <w:r>
              <w:rPr>
                <w:rFonts w:ascii="仿宋_GB2312" w:hAnsi="仿宋_GB2312" w:cs="仿宋_GB2312" w:eastAsia="仿宋_GB2312"/>
              </w:rPr>
              <w:t>综合评分法 （具体规则详见第五章）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 xml:space="preserve"> 如接受联合体，需符合以下要求：</w:t>
            </w:r>
          </w:p>
          <w:p>
            <w:pPr>
              <w:pStyle w:val="null5"/>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采购包1：不缴纳</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响应有效期</w:t>
            </w:r>
          </w:p>
        </w:tc>
        <w:tc>
          <w:tcPr>
            <w:tcW w:type="dxa" w:w="5814"/>
          </w:tcPr>
          <w:p>
            <w:pPr>
              <w:pStyle w:val="null5"/>
              <w:jc w:val="left"/>
            </w:pPr>
            <w:r>
              <w:rPr>
                <w:rFonts w:ascii="仿宋_GB2312" w:hAnsi="仿宋_GB2312" w:cs="仿宋_GB2312" w:eastAsia="仿宋_GB2312"/>
              </w:rPr>
              <w:t>90日</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代理服务费收费标准：参照国家计价格（2002）1980号文件、国家发改办价格[2003]857号文件规定下浮40%收取。</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采购结果将在“中国山东政府采购网”予以公告。</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兼投不兼中</w:t>
            </w:r>
          </w:p>
        </w:tc>
        <w:tc>
          <w:tcPr>
            <w:tcW w:type="dxa" w:w="5814"/>
          </w:tcPr>
          <w:p>
            <w:pPr>
              <w:pStyle w:val="null5"/>
              <w:jc w:val="left"/>
            </w:pPr>
            <w:r>
              <w:rPr>
                <w:rFonts w:ascii="仿宋_GB2312" w:hAnsi="仿宋_GB2312" w:cs="仿宋_GB2312" w:eastAsia="仿宋_GB2312"/>
              </w:rPr>
              <w:t>本项目不涉及。</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 xml:space="preserve"> 一、交易系统发生故障（包括感染病毒、应用或数据库出错）而无法正常使用的；</w:t>
            </w:r>
          </w:p>
          <w:p>
            <w:pPr>
              <w:pStyle w:val="null5"/>
              <w:jc w:val="left"/>
            </w:pPr>
            <w:r>
              <w:rPr>
                <w:rFonts w:ascii="仿宋_GB2312" w:hAnsi="仿宋_GB2312" w:cs="仿宋_GB2312" w:eastAsia="仿宋_GB2312"/>
              </w:rPr>
              <w:t xml:space="preserve"> 二、因组织场所停电、断网等原因，导致采购活动无法继续通过交易系统实施的；</w:t>
            </w:r>
          </w:p>
          <w:p>
            <w:pPr>
              <w:pStyle w:val="null5"/>
              <w:jc w:val="left"/>
            </w:pPr>
            <w:r>
              <w:rPr>
                <w:rFonts w:ascii="仿宋_GB2312" w:hAnsi="仿宋_GB2312" w:cs="仿宋_GB2312" w:eastAsia="仿宋_GB2312"/>
              </w:rPr>
              <w:t xml:space="preserve"> 三、其他无法保证电子化交易的公平、公正和安全的情况。</w:t>
            </w:r>
          </w:p>
          <w:p>
            <w:pPr>
              <w:pStyle w:val="null5"/>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 xml:space="preserve"> 注：</w:t>
            </w:r>
          </w:p>
          <w:p>
            <w:pPr>
              <w:pStyle w:val="null5"/>
              <w:jc w:val="left"/>
            </w:pPr>
            <w:r>
              <w:rPr>
                <w:rFonts w:ascii="仿宋_GB2312" w:hAnsi="仿宋_GB2312" w:cs="仿宋_GB2312" w:eastAsia="仿宋_GB2312"/>
              </w:rPr>
              <w:t xml:space="preserve"> 1.平台系统故障认定以“中国山东政府采购网”发布的系统运维通知内容为准；</w:t>
            </w:r>
          </w:p>
          <w:p>
            <w:pPr>
              <w:pStyle w:val="null5"/>
              <w:jc w:val="left"/>
            </w:pPr>
            <w:r>
              <w:rPr>
                <w:rFonts w:ascii="仿宋_GB2312" w:hAnsi="仿宋_GB2312" w:cs="仿宋_GB2312" w:eastAsia="仿宋_GB2312"/>
              </w:rPr>
              <w:t xml:space="preserve"> 2.故障处理详见第二章规定。</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本磋商文件所称的“以上”、“以下”、“内”、“以内”、“不少于”包括本数；所称的“不足”、“低于”、“超过”不包括本数。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left"/>
      </w:pPr>
      <w:r>
        <w:rPr>
          <w:rFonts w:ascii="仿宋_GB2312" w:hAnsi="仿宋_GB2312" w:cs="仿宋_GB2312" w:eastAsia="仿宋_GB2312"/>
        </w:rPr>
        <w:t>2.2.1.适用范围</w:t>
      </w:r>
    </w:p>
    <w:p>
      <w:pPr>
        <w:pStyle w:val="null5"/>
        <w:ind w:firstLine="480"/>
        <w:jc w:val="left"/>
      </w:pPr>
      <w:r>
        <w:rPr>
          <w:rFonts w:ascii="仿宋_GB2312" w:hAnsi="仿宋_GB2312" w:cs="仿宋_GB2312" w:eastAsia="仿宋_GB2312"/>
        </w:rPr>
        <w:t>一、本磋商文件仅适用于本次竞争性磋商采购项目。</w:t>
      </w:r>
    </w:p>
    <w:p>
      <w:pPr>
        <w:pStyle w:val="null5"/>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山东石油化工学院</w:t>
      </w:r>
      <w:r>
        <w:rPr>
          <w:rFonts w:ascii="仿宋_GB2312" w:hAnsi="仿宋_GB2312" w:cs="仿宋_GB2312" w:eastAsia="仿宋_GB2312"/>
        </w:rPr>
        <w:t xml:space="preserve"> 和 </w:t>
      </w:r>
      <w:r>
        <w:rPr>
          <w:rFonts w:ascii="仿宋_GB2312" w:hAnsi="仿宋_GB2312" w:cs="仿宋_GB2312" w:eastAsia="仿宋_GB2312"/>
        </w:rPr>
        <w:t>山东浩锐工程咨询有限公司</w:t>
      </w:r>
      <w:r>
        <w:rPr>
          <w:rFonts w:ascii="仿宋_GB2312" w:hAnsi="仿宋_GB2312" w:cs="仿宋_GB2312" w:eastAsia="仿宋_GB2312"/>
        </w:rPr>
        <w:t xml:space="preserve"> 负责解释。</w:t>
      </w:r>
    </w:p>
    <w:p>
      <w:pPr>
        <w:pStyle w:val="null5"/>
        <w:ind w:firstLine="480"/>
        <w:jc w:val="left"/>
      </w:pPr>
      <w:r>
        <w:rPr>
          <w:rFonts w:ascii="仿宋_GB2312" w:hAnsi="仿宋_GB2312" w:cs="仿宋_GB2312" w:eastAsia="仿宋_GB2312"/>
        </w:rPr>
        <w:t>2.2.2.有关定义</w:t>
      </w:r>
    </w:p>
    <w:p>
      <w:pPr>
        <w:pStyle w:val="null5"/>
        <w:ind w:firstLine="480"/>
        <w:jc w:val="left"/>
      </w:pPr>
      <w:r>
        <w:rPr>
          <w:rFonts w:ascii="仿宋_GB2312" w:hAnsi="仿宋_GB2312" w:cs="仿宋_GB2312" w:eastAsia="仿宋_GB2312"/>
        </w:rPr>
        <w:t>一、“采购人”是指依法进行政府采购的国家机关、事业单位、团体组织。本次磋商的采购人是</w:t>
      </w:r>
      <w:r>
        <w:rPr>
          <w:rFonts w:ascii="仿宋_GB2312" w:hAnsi="仿宋_GB2312" w:cs="仿宋_GB2312" w:eastAsia="仿宋_GB2312"/>
        </w:rPr>
        <w:t>山东石油化工学院</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5"/>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山东浩锐工程咨询有限公司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5"/>
        <w:ind w:firstLine="480"/>
        <w:jc w:val="left"/>
      </w:pPr>
      <w:r>
        <w:rPr>
          <w:rFonts w:ascii="仿宋_GB2312" w:hAnsi="仿宋_GB2312" w:cs="仿宋_GB2312" w:eastAsia="仿宋_GB2312"/>
        </w:rPr>
        <w:t>五、“电子评审”是指磋商小组开展资格审查、符合性审查、磋商、推荐成交候选供应商、出具磋商报告等活动。</w:t>
      </w:r>
    </w:p>
    <w:p>
      <w:pPr>
        <w:pStyle w:val="null5"/>
        <w:ind w:firstLine="480"/>
        <w:jc w:val="left"/>
        <w:outlineLvl w:val="2"/>
      </w:pPr>
      <w:r>
        <w:rPr>
          <w:rFonts w:ascii="仿宋_GB2312" w:hAnsi="仿宋_GB2312" w:cs="仿宋_GB2312" w:eastAsia="仿宋_GB2312"/>
          <w:sz w:val="28"/>
          <w:b/>
        </w:rPr>
        <w:t>2.3.磋商文件</w:t>
      </w:r>
    </w:p>
    <w:p>
      <w:pPr>
        <w:pStyle w:val="null5"/>
        <w:ind w:firstLine="480"/>
        <w:jc w:val="left"/>
      </w:pPr>
      <w:r>
        <w:rPr>
          <w:rFonts w:ascii="仿宋_GB2312" w:hAnsi="仿宋_GB2312" w:cs="仿宋_GB2312" w:eastAsia="仿宋_GB2312"/>
        </w:rPr>
        <w:t>2.3.1.磋商文件的构成</w:t>
      </w:r>
    </w:p>
    <w:p>
      <w:pPr>
        <w:pStyle w:val="null5"/>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5"/>
        <w:ind w:firstLine="480"/>
        <w:jc w:val="left"/>
      </w:pPr>
      <w:r>
        <w:rPr>
          <w:rFonts w:ascii="仿宋_GB2312" w:hAnsi="仿宋_GB2312" w:cs="仿宋_GB2312" w:eastAsia="仿宋_GB2312"/>
        </w:rPr>
        <w:t>一、竞争性磋商邀请；</w:t>
      </w:r>
    </w:p>
    <w:p>
      <w:pPr>
        <w:pStyle w:val="null5"/>
        <w:ind w:firstLine="480"/>
        <w:jc w:val="left"/>
      </w:pPr>
      <w:r>
        <w:rPr>
          <w:rFonts w:ascii="仿宋_GB2312" w:hAnsi="仿宋_GB2312" w:cs="仿宋_GB2312" w:eastAsia="仿宋_GB2312"/>
        </w:rPr>
        <w:t>二、供应商须知；</w:t>
      </w:r>
    </w:p>
    <w:p>
      <w:pPr>
        <w:pStyle w:val="null5"/>
        <w:ind w:firstLine="480"/>
        <w:jc w:val="left"/>
      </w:pPr>
      <w:r>
        <w:rPr>
          <w:rFonts w:ascii="仿宋_GB2312" w:hAnsi="仿宋_GB2312" w:cs="仿宋_GB2312" w:eastAsia="仿宋_GB2312"/>
        </w:rPr>
        <w:t>三、技术、服务及其他要求；</w:t>
      </w:r>
    </w:p>
    <w:p>
      <w:pPr>
        <w:pStyle w:val="null5"/>
        <w:ind w:firstLine="480"/>
        <w:jc w:val="left"/>
      </w:pPr>
      <w:r>
        <w:rPr>
          <w:rFonts w:ascii="仿宋_GB2312" w:hAnsi="仿宋_GB2312" w:cs="仿宋_GB2312" w:eastAsia="仿宋_GB2312"/>
        </w:rPr>
        <w:t>四、磋商过程中可实质性变动的内容；</w:t>
      </w:r>
    </w:p>
    <w:p>
      <w:pPr>
        <w:pStyle w:val="null5"/>
        <w:ind w:firstLine="480"/>
        <w:jc w:val="left"/>
      </w:pPr>
      <w:r>
        <w:rPr>
          <w:rFonts w:ascii="仿宋_GB2312" w:hAnsi="仿宋_GB2312" w:cs="仿宋_GB2312" w:eastAsia="仿宋_GB2312"/>
        </w:rPr>
        <w:t>五、评审办法；</w:t>
      </w:r>
    </w:p>
    <w:p>
      <w:pPr>
        <w:pStyle w:val="null5"/>
        <w:ind w:firstLine="480"/>
        <w:jc w:val="left"/>
      </w:pPr>
      <w:r>
        <w:rPr>
          <w:rFonts w:ascii="仿宋_GB2312" w:hAnsi="仿宋_GB2312" w:cs="仿宋_GB2312" w:eastAsia="仿宋_GB2312"/>
        </w:rPr>
        <w:t>六、响应文件格式；</w:t>
      </w:r>
    </w:p>
    <w:p>
      <w:pPr>
        <w:pStyle w:val="null5"/>
        <w:ind w:firstLine="480"/>
        <w:jc w:val="left"/>
      </w:pPr>
      <w:r>
        <w:rPr>
          <w:rFonts w:ascii="仿宋_GB2312" w:hAnsi="仿宋_GB2312" w:cs="仿宋_GB2312" w:eastAsia="仿宋_GB2312"/>
        </w:rPr>
        <w:t>七、拟签订采购合同文本。</w:t>
      </w:r>
    </w:p>
    <w:p>
      <w:pPr>
        <w:pStyle w:val="null5"/>
        <w:ind w:firstLine="480"/>
        <w:jc w:val="left"/>
      </w:pPr>
      <w:r>
        <w:rPr>
          <w:rFonts w:ascii="仿宋_GB2312" w:hAnsi="仿宋_GB2312" w:cs="仿宋_GB2312" w:eastAsia="仿宋_GB2312"/>
        </w:rPr>
        <w:t>2.3.2.磋商文件的澄清或者修改</w:t>
      </w:r>
    </w:p>
    <w:p>
      <w:pPr>
        <w:pStyle w:val="null5"/>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5"/>
        <w:ind w:firstLine="480"/>
        <w:jc w:val="left"/>
      </w:pPr>
      <w:r>
        <w:rPr>
          <w:rFonts w:ascii="仿宋_GB2312" w:hAnsi="仿宋_GB2312" w:cs="仿宋_GB2312" w:eastAsia="仿宋_GB2312"/>
        </w:rPr>
        <w:t>二、澄清或者修改的内容为磋商文件的组成部分，采购人或者代理机构将在“中国山东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5"/>
        <w:ind w:firstLine="480"/>
        <w:jc w:val="left"/>
      </w:pPr>
      <w:r>
        <w:rPr>
          <w:rFonts w:ascii="仿宋_GB2312" w:hAnsi="仿宋_GB2312" w:cs="仿宋_GB2312" w:eastAsia="仿宋_GB2312"/>
        </w:rPr>
        <w:t>三、供应商根据更正公告、更正信息要求，下载更正后的磋商文件，进行响应文件编制。</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left"/>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5"/>
        <w:ind w:firstLine="480"/>
        <w:jc w:val="left"/>
      </w:pPr>
      <w:r>
        <w:rPr>
          <w:rFonts w:ascii="仿宋_GB2312" w:hAnsi="仿宋_GB2312" w:cs="仿宋_GB2312" w:eastAsia="仿宋_GB2312"/>
        </w:rPr>
        <w:t>（一）供应商的法定代表人为外籍人士的，法定代表人的签字和护照；</w:t>
      </w:r>
    </w:p>
    <w:p>
      <w:pPr>
        <w:pStyle w:val="null5"/>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5"/>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left"/>
      </w:pPr>
      <w:r>
        <w:rPr>
          <w:rFonts w:ascii="仿宋_GB2312" w:hAnsi="仿宋_GB2312" w:cs="仿宋_GB2312" w:eastAsia="仿宋_GB2312"/>
        </w:rPr>
        <w:t>三、如因未翻译而造成对供应商的不利后果，由供应商承担。</w:t>
      </w:r>
    </w:p>
    <w:p>
      <w:pPr>
        <w:pStyle w:val="null5"/>
        <w:ind w:firstLine="480"/>
        <w:jc w:val="left"/>
      </w:pPr>
      <w:r>
        <w:rPr>
          <w:rFonts w:ascii="仿宋_GB2312" w:hAnsi="仿宋_GB2312" w:cs="仿宋_GB2312" w:eastAsia="仿宋_GB2312"/>
        </w:rPr>
        <w:t>2.4.2.计量单位</w:t>
      </w:r>
    </w:p>
    <w:p>
      <w:pPr>
        <w:pStyle w:val="null5"/>
        <w:ind w:firstLine="480"/>
        <w:jc w:val="left"/>
      </w:pPr>
      <w:r>
        <w:rPr>
          <w:rFonts w:ascii="仿宋_GB2312" w:hAnsi="仿宋_GB2312" w:cs="仿宋_GB2312" w:eastAsia="仿宋_GB2312"/>
        </w:rPr>
        <w:t>除磋商文件中另有规定外，本项目均采用国家法定的计量单位。</w:t>
      </w:r>
    </w:p>
    <w:p>
      <w:pPr>
        <w:pStyle w:val="null5"/>
        <w:ind w:firstLine="480"/>
        <w:jc w:val="left"/>
      </w:pPr>
      <w:r>
        <w:rPr>
          <w:rFonts w:ascii="仿宋_GB2312" w:hAnsi="仿宋_GB2312" w:cs="仿宋_GB2312" w:eastAsia="仿宋_GB2312"/>
        </w:rPr>
        <w:t>2.4.3.响应货币</w:t>
      </w:r>
    </w:p>
    <w:p>
      <w:pPr>
        <w:pStyle w:val="null5"/>
        <w:ind w:firstLine="480"/>
        <w:jc w:val="left"/>
      </w:pPr>
      <w:r>
        <w:rPr>
          <w:rFonts w:ascii="仿宋_GB2312" w:hAnsi="仿宋_GB2312" w:cs="仿宋_GB2312" w:eastAsia="仿宋_GB2312"/>
        </w:rPr>
        <w:t>本项目均以人民币报价。</w:t>
      </w:r>
    </w:p>
    <w:p>
      <w:pPr>
        <w:pStyle w:val="null5"/>
        <w:ind w:firstLine="480"/>
        <w:jc w:val="left"/>
      </w:pPr>
      <w:r>
        <w:rPr>
          <w:rFonts w:ascii="仿宋_GB2312" w:hAnsi="仿宋_GB2312" w:cs="仿宋_GB2312" w:eastAsia="仿宋_GB2312"/>
        </w:rPr>
        <w:t>2.4.4.知识产权</w:t>
      </w:r>
    </w:p>
    <w:p>
      <w:pPr>
        <w:pStyle w:val="null5"/>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5"/>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5"/>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5"/>
        <w:ind w:firstLine="480"/>
        <w:jc w:val="left"/>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5"/>
        <w:ind w:firstLine="480"/>
        <w:jc w:val="left"/>
      </w:pPr>
      <w:r>
        <w:rPr>
          <w:rFonts w:ascii="仿宋_GB2312" w:hAnsi="仿宋_GB2312" w:cs="仿宋_GB2312" w:eastAsia="仿宋_GB2312"/>
        </w:rPr>
        <w:t>2.4.6.响应文件的编制、签章和加密</w:t>
      </w:r>
    </w:p>
    <w:p>
      <w:pPr>
        <w:pStyle w:val="null5"/>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5"/>
        <w:ind w:firstLine="480"/>
        <w:jc w:val="left"/>
      </w:pPr>
      <w:r>
        <w:rPr>
          <w:rFonts w:ascii="仿宋_GB2312" w:hAnsi="仿宋_GB2312" w:cs="仿宋_GB2312" w:eastAsia="仿宋_GB2312"/>
        </w:rPr>
        <w:t>二、供应商使用投标（响应）客户端编制响应文件，完成响应文件编制、加盖电子印章和加密。</w:t>
      </w:r>
    </w:p>
    <w:p>
      <w:pPr>
        <w:pStyle w:val="null5"/>
        <w:ind w:firstLine="480"/>
        <w:jc w:val="left"/>
      </w:pPr>
      <w:r>
        <w:rPr>
          <w:rFonts w:ascii="仿宋_GB2312" w:hAnsi="仿宋_GB2312" w:cs="仿宋_GB2312" w:eastAsia="仿宋_GB2312"/>
        </w:rPr>
        <w:t>2.4.7.响应文件的提交</w:t>
      </w:r>
    </w:p>
    <w:p>
      <w:pPr>
        <w:pStyle w:val="null5"/>
        <w:ind w:firstLine="480"/>
        <w:jc w:val="both"/>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5"/>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5"/>
        <w:ind w:firstLine="480"/>
        <w:jc w:val="both"/>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5"/>
        <w:ind w:firstLine="480"/>
        <w:jc w:val="left"/>
      </w:pPr>
      <w:r>
        <w:rPr>
          <w:rFonts w:ascii="仿宋_GB2312" w:hAnsi="仿宋_GB2312" w:cs="仿宋_GB2312" w:eastAsia="仿宋_GB2312"/>
        </w:rPr>
        <w:t>2.4.8.响应文件的补充、修改、撤回</w:t>
      </w:r>
    </w:p>
    <w:p>
      <w:pPr>
        <w:pStyle w:val="null5"/>
        <w:jc w:val="both"/>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5"/>
        <w:ind w:firstLine="480"/>
        <w:jc w:val="left"/>
      </w:pPr>
      <w:r>
        <w:rPr>
          <w:rFonts w:ascii="仿宋_GB2312" w:hAnsi="仿宋_GB2312" w:cs="仿宋_GB2312" w:eastAsia="仿宋_GB2312"/>
        </w:rPr>
        <w:t>供应商响应文件撤回后，视为未提交过响应文件。</w:t>
      </w:r>
    </w:p>
    <w:p>
      <w:pPr>
        <w:pStyle w:val="null5"/>
        <w:ind w:firstLine="480"/>
        <w:jc w:val="left"/>
        <w:outlineLvl w:val="2"/>
      </w:pPr>
      <w:r>
        <w:rPr>
          <w:rFonts w:ascii="仿宋_GB2312" w:hAnsi="仿宋_GB2312" w:cs="仿宋_GB2312" w:eastAsia="仿宋_GB2312"/>
          <w:sz w:val="28"/>
          <w:b/>
        </w:rPr>
        <w:t>2.5.开启、评审和确定成交供应商</w:t>
      </w:r>
    </w:p>
    <w:p>
      <w:pPr>
        <w:pStyle w:val="null5"/>
        <w:ind w:firstLine="480"/>
        <w:jc w:val="left"/>
      </w:pPr>
      <w:r>
        <w:rPr>
          <w:rFonts w:ascii="仿宋_GB2312" w:hAnsi="仿宋_GB2312" w:cs="仿宋_GB2312" w:eastAsia="仿宋_GB2312"/>
        </w:rPr>
        <w:t>2.5.1.开启</w:t>
      </w:r>
    </w:p>
    <w:p>
      <w:pPr>
        <w:pStyle w:val="null5"/>
        <w:ind w:firstLine="480"/>
        <w:jc w:val="left"/>
      </w:pPr>
      <w:r>
        <w:rPr>
          <w:rFonts w:ascii="仿宋_GB2312" w:hAnsi="仿宋_GB2312" w:cs="仿宋_GB2312" w:eastAsia="仿宋_GB2312"/>
        </w:rPr>
        <w:t>2.5.1.1.开启程序</w:t>
      </w:r>
    </w:p>
    <w:p>
      <w:pPr>
        <w:pStyle w:val="null5"/>
        <w:ind w:firstLine="480"/>
        <w:jc w:val="left"/>
      </w:pPr>
      <w:r>
        <w:rPr>
          <w:rFonts w:ascii="仿宋_GB2312" w:hAnsi="仿宋_GB2312" w:cs="仿宋_GB2312" w:eastAsia="仿宋_GB2312"/>
        </w:rPr>
        <w:t>提交响应文件截止时间后，通过交易系统“开标/开启大厅”网上开启解密响应文件。</w:t>
      </w:r>
    </w:p>
    <w:p>
      <w:pPr>
        <w:pStyle w:val="null5"/>
        <w:ind w:firstLine="480"/>
        <w:jc w:val="left"/>
      </w:pPr>
      <w:r>
        <w:rPr>
          <w:rFonts w:ascii="仿宋_GB2312" w:hAnsi="仿宋_GB2312" w:cs="仿宋_GB2312" w:eastAsia="仿宋_GB2312"/>
        </w:rPr>
        <w:t>2.5.1.2.解密响应文件</w:t>
      </w:r>
    </w:p>
    <w:p>
      <w:pPr>
        <w:pStyle w:val="null5"/>
        <w:ind w:firstLine="480"/>
        <w:jc w:val="both"/>
      </w:pPr>
      <w:r>
        <w:rPr>
          <w:rFonts w:ascii="仿宋_GB2312" w:hAnsi="仿宋_GB2312" w:cs="仿宋_GB2312" w:eastAsia="仿宋_GB2312"/>
        </w:rPr>
        <w:t>提交响应文件截止时间后，成功提交响应文件的供应商符合磋商文件规定数量的，代理机构将启动响应文件解密程序，供应商应在规定的解密时间内，使用加密响应文件的数字证书进行响应文件解密。除因平台系统故障导致供应商未按时完成解密外，供应商未在规定的解密时间内完成解密的，按无效响应处理。</w:t>
      </w:r>
    </w:p>
    <w:p>
      <w:pPr>
        <w:pStyle w:val="null5"/>
        <w:ind w:firstLine="480"/>
        <w:jc w:val="left"/>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5"/>
        <w:ind w:firstLine="480"/>
        <w:jc w:val="left"/>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5"/>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5"/>
        <w:ind w:firstLine="480"/>
        <w:jc w:val="left"/>
      </w:pPr>
      <w:r>
        <w:rPr>
          <w:rFonts w:ascii="仿宋_GB2312" w:hAnsi="仿宋_GB2312" w:cs="仿宋_GB2312" w:eastAsia="仿宋_GB2312"/>
        </w:rPr>
        <w:t>2.5.3.评审</w:t>
      </w:r>
    </w:p>
    <w:p>
      <w:pPr>
        <w:pStyle w:val="null5"/>
        <w:ind w:firstLine="480"/>
        <w:jc w:val="left"/>
      </w:pPr>
      <w:r>
        <w:rPr>
          <w:rFonts w:ascii="仿宋_GB2312" w:hAnsi="仿宋_GB2312" w:cs="仿宋_GB2312" w:eastAsia="仿宋_GB2312"/>
        </w:rPr>
        <w:t>详见磋商文件第五章。</w:t>
      </w:r>
    </w:p>
    <w:p>
      <w:pPr>
        <w:pStyle w:val="null5"/>
        <w:ind w:firstLine="480"/>
        <w:jc w:val="left"/>
      </w:pPr>
      <w:r>
        <w:rPr>
          <w:rFonts w:ascii="仿宋_GB2312" w:hAnsi="仿宋_GB2312" w:cs="仿宋_GB2312" w:eastAsia="仿宋_GB2312"/>
        </w:rPr>
        <w:t>2.5.4.成交通知书</w:t>
      </w:r>
    </w:p>
    <w:p>
      <w:pPr>
        <w:pStyle w:val="null5"/>
        <w:ind w:firstLine="480"/>
        <w:jc w:val="left"/>
      </w:pPr>
      <w:r>
        <w:rPr>
          <w:rFonts w:ascii="仿宋_GB2312" w:hAnsi="仿宋_GB2312" w:cs="仿宋_GB2312" w:eastAsia="仿宋_GB2312"/>
        </w:rPr>
        <w:t>一、采购人或者磋商小组确认成交供应商后，代理机构在“中国山东政府采购网”发布成交结果公告、通过交易系统发出成交通知书，成交供应商通过交易系统获取成交通知书。</w:t>
      </w:r>
    </w:p>
    <w:p>
      <w:pPr>
        <w:pStyle w:val="null5"/>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5"/>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left"/>
      </w:pPr>
      <w:r>
        <w:rPr>
          <w:rFonts w:ascii="仿宋_GB2312" w:hAnsi="仿宋_GB2312" w:cs="仿宋_GB2312" w:eastAsia="仿宋_GB2312"/>
        </w:rPr>
        <w:t>2.6.1.签订合同</w:t>
      </w:r>
    </w:p>
    <w:p>
      <w:pPr>
        <w:pStyle w:val="null5"/>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5"/>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5"/>
        <w:ind w:firstLine="480"/>
        <w:jc w:val="left"/>
      </w:pPr>
      <w:r>
        <w:rPr>
          <w:rFonts w:ascii="仿宋_GB2312" w:hAnsi="仿宋_GB2312" w:cs="仿宋_GB2312" w:eastAsia="仿宋_GB2312"/>
        </w:rPr>
        <w:t>三、政府采购合同自采购人和成交供应商在书面合同上签章之日起生效。</w:t>
      </w:r>
    </w:p>
    <w:p>
      <w:pPr>
        <w:pStyle w:val="null5"/>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5"/>
        <w:ind w:firstLine="480"/>
        <w:jc w:val="left"/>
      </w:pPr>
      <w:r>
        <w:rPr>
          <w:rFonts w:ascii="仿宋_GB2312" w:hAnsi="仿宋_GB2312" w:cs="仿宋_GB2312" w:eastAsia="仿宋_GB2312"/>
        </w:rPr>
        <w:t>2.6.2.政府采购合同公告、备案</w:t>
      </w:r>
    </w:p>
    <w:p>
      <w:pPr>
        <w:pStyle w:val="null5"/>
        <w:ind w:firstLine="480"/>
        <w:jc w:val="left"/>
      </w:pPr>
      <w:r>
        <w:rPr>
          <w:rFonts w:ascii="仿宋_GB2312" w:hAnsi="仿宋_GB2312" w:cs="仿宋_GB2312" w:eastAsia="仿宋_GB2312"/>
        </w:rPr>
        <w:t>政府采购合同签订之日起2个工作日内，采购人将政府采购合同在“中国山东政府采购网”予以公告；政府采购合同签订之日起7个工作日内，采购人将政府采购合同报项目同级财政部门备案。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left"/>
      </w:pPr>
      <w:r>
        <w:rPr>
          <w:rFonts w:ascii="仿宋_GB2312" w:hAnsi="仿宋_GB2312" w:cs="仿宋_GB2312" w:eastAsia="仿宋_GB2312"/>
        </w:rPr>
        <w:t>2.6.3.合同分包和转包</w:t>
      </w:r>
    </w:p>
    <w:p>
      <w:pPr>
        <w:pStyle w:val="null5"/>
        <w:ind w:firstLine="480"/>
        <w:jc w:val="left"/>
      </w:pPr>
      <w:r>
        <w:rPr>
          <w:rFonts w:ascii="仿宋_GB2312" w:hAnsi="仿宋_GB2312" w:cs="仿宋_GB2312" w:eastAsia="仿宋_GB2312"/>
        </w:rPr>
        <w:t>2.6.3.1.合同分包</w:t>
      </w:r>
    </w:p>
    <w:p>
      <w:pPr>
        <w:pStyle w:val="null5"/>
        <w:jc w:val="left"/>
      </w:pPr>
      <w:r>
        <w:rPr>
          <w:rFonts w:ascii="仿宋_GB2312" w:hAnsi="仿宋_GB2312" w:cs="仿宋_GB2312" w:eastAsia="仿宋_GB2312"/>
        </w:rPr>
        <w:t>采购包1：不允许分包；</w:t>
      </w:r>
    </w:p>
    <w:p>
      <w:pPr>
        <w:pStyle w:val="null5"/>
        <w:ind w:firstLine="480"/>
        <w:jc w:val="left"/>
      </w:pPr>
      <w:r>
        <w:rPr>
          <w:rFonts w:ascii="仿宋_GB2312" w:hAnsi="仿宋_GB2312" w:cs="仿宋_GB2312" w:eastAsia="仿宋_GB2312"/>
        </w:rPr>
        <w:t>注：</w:t>
      </w:r>
    </w:p>
    <w:p>
      <w:pPr>
        <w:pStyle w:val="null5"/>
        <w:ind w:firstLine="480"/>
        <w:jc w:val="left"/>
      </w:pPr>
      <w:r>
        <w:rPr>
          <w:rFonts w:ascii="仿宋_GB2312" w:hAnsi="仿宋_GB2312" w:cs="仿宋_GB2312" w:eastAsia="仿宋_GB2312"/>
        </w:rPr>
        <w:t>1.供应商根据磋商文件的规定和采购项目的实际情况，拟在成交后将成交项目的非主体、非关键性工作分包的，应当在响应文件中载明分包承担主体，分包承担主体应当具备相应资质条件且不得再次分包。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5"/>
        <w:ind w:firstLine="480"/>
        <w:jc w:val="left"/>
      </w:pPr>
      <w:r>
        <w:rPr>
          <w:rFonts w:ascii="仿宋_GB2312" w:hAnsi="仿宋_GB2312" w:cs="仿宋_GB2312" w:eastAsia="仿宋_GB2312"/>
        </w:rPr>
        <w:t>2.采购合同实行分包履行的，成交供应商就采购项目和分包项目向采购人负责，分包供应商就分包项目承担责任。</w:t>
      </w:r>
    </w:p>
    <w:p>
      <w:pPr>
        <w:pStyle w:val="null5"/>
        <w:ind w:firstLine="480"/>
        <w:jc w:val="left"/>
      </w:pPr>
      <w:r>
        <w:rPr>
          <w:rFonts w:ascii="仿宋_GB2312" w:hAnsi="仿宋_GB2312" w:cs="仿宋_GB2312" w:eastAsia="仿宋_GB2312"/>
        </w:rPr>
        <w:t>3.中小企业依据《政府采购促进中小企业发展管理办法》（财库〔2020〕46号）规定的政策获取政府采购合同后，小型、微型企业不得将合同分包给大型、中型企业，中型企业不得将合同分包给大型企业。</w:t>
      </w:r>
    </w:p>
    <w:p>
      <w:pPr>
        <w:pStyle w:val="null5"/>
        <w:ind w:firstLine="480"/>
        <w:jc w:val="left"/>
      </w:pPr>
      <w:r>
        <w:rPr>
          <w:rFonts w:ascii="仿宋_GB2312" w:hAnsi="仿宋_GB2312" w:cs="仿宋_GB2312" w:eastAsia="仿宋_GB2312"/>
        </w:rPr>
        <w:t>2.6.3.2.合同转包</w:t>
      </w:r>
    </w:p>
    <w:p>
      <w:pPr>
        <w:pStyle w:val="null5"/>
        <w:ind w:firstLine="480"/>
        <w:jc w:val="left"/>
      </w:pPr>
      <w:r>
        <w:rPr>
          <w:rFonts w:ascii="仿宋_GB2312" w:hAnsi="仿宋_GB2312" w:cs="仿宋_GB2312" w:eastAsia="仿宋_GB2312"/>
        </w:rPr>
        <w:t>一、严禁成交供应商将本项目合同转包。</w:t>
      </w:r>
    </w:p>
    <w:p>
      <w:pPr>
        <w:pStyle w:val="null5"/>
        <w:ind w:firstLine="480"/>
        <w:jc w:val="left"/>
      </w:pPr>
      <w:r>
        <w:rPr>
          <w:rFonts w:ascii="仿宋_GB2312" w:hAnsi="仿宋_GB2312" w:cs="仿宋_GB2312" w:eastAsia="仿宋_GB2312"/>
        </w:rPr>
        <w:t>二、成交供应商将合同转包的，将依法追究法律责任。</w:t>
      </w:r>
    </w:p>
    <w:p>
      <w:pPr>
        <w:pStyle w:val="null5"/>
        <w:ind w:firstLine="480"/>
        <w:jc w:val="left"/>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5"/>
        <w:ind w:firstLine="480"/>
        <w:jc w:val="left"/>
      </w:pPr>
      <w:r>
        <w:rPr>
          <w:rFonts w:ascii="仿宋_GB2312" w:hAnsi="仿宋_GB2312" w:cs="仿宋_GB2312" w:eastAsia="仿宋_GB2312"/>
        </w:rPr>
        <w:t>2.6.5.履行合同</w:t>
      </w:r>
    </w:p>
    <w:p>
      <w:pPr>
        <w:pStyle w:val="null5"/>
        <w:ind w:firstLine="480"/>
        <w:jc w:val="left"/>
      </w:pPr>
      <w:r>
        <w:rPr>
          <w:rFonts w:ascii="仿宋_GB2312" w:hAnsi="仿宋_GB2312" w:cs="仿宋_GB2312" w:eastAsia="仿宋_GB2312"/>
        </w:rPr>
        <w:t>一、采购人与成交供应商应当根据合同的约定依法履行合同义务。</w:t>
      </w:r>
    </w:p>
    <w:p>
      <w:pPr>
        <w:pStyle w:val="null5"/>
        <w:ind w:firstLine="480"/>
        <w:jc w:val="left"/>
      </w:pPr>
      <w:r>
        <w:rPr>
          <w:rFonts w:ascii="仿宋_GB2312" w:hAnsi="仿宋_GB2312" w:cs="仿宋_GB2312" w:eastAsia="仿宋_GB2312"/>
        </w:rPr>
        <w:t>二、政府采购合同的履行、违约责任和解决争议的方法等适用《中华人民共和国民法典》。</w:t>
      </w:r>
    </w:p>
    <w:p>
      <w:pPr>
        <w:pStyle w:val="null5"/>
        <w:ind w:firstLine="480"/>
        <w:jc w:val="left"/>
      </w:pPr>
      <w:r>
        <w:rPr>
          <w:rFonts w:ascii="仿宋_GB2312" w:hAnsi="仿宋_GB2312" w:cs="仿宋_GB2312" w:eastAsia="仿宋_GB2312"/>
        </w:rPr>
        <w:t>2.6.6.履约验收方案</w:t>
      </w:r>
    </w:p>
    <w:p>
      <w:pPr>
        <w:pStyle w:val="null5"/>
        <w:ind w:firstLine="480"/>
        <w:jc w:val="left"/>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left"/>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left"/>
      </w:pPr>
      <w:r>
        <w:rPr>
          <w:rFonts w:ascii="仿宋_GB2312" w:hAnsi="仿宋_GB2312" w:cs="仿宋_GB2312" w:eastAsia="仿宋_GB2312"/>
        </w:rPr>
        <w:t>三、履约验收时间：</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供应商向采购人提交项目验收申请后，经采购人确认达到验收条件的，采购人按项目的相关规定启动项目验收。</w:t>
      </w:r>
    </w:p>
    <w:p>
      <w:pPr>
        <w:pStyle w:val="null5"/>
        <w:ind w:firstLine="480"/>
        <w:jc w:val="left"/>
      </w:pPr>
      <w:r>
        <w:rPr>
          <w:rFonts w:ascii="仿宋_GB2312" w:hAnsi="仿宋_GB2312" w:cs="仿宋_GB2312" w:eastAsia="仿宋_GB2312"/>
        </w:rPr>
        <w:t>四、验收组织的其他事项：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按照合同条款和项目需求，由采购人进行验收，参照《山东省政府采购履约验收管理办法》</w:t>
      </w:r>
    </w:p>
    <w:p>
      <w:pPr>
        <w:pStyle w:val="null5"/>
        <w:ind w:firstLine="480"/>
        <w:jc w:val="left"/>
      </w:pPr>
      <w:r>
        <w:rPr>
          <w:rFonts w:ascii="仿宋_GB2312" w:hAnsi="仿宋_GB2312" w:cs="仿宋_GB2312" w:eastAsia="仿宋_GB2312"/>
        </w:rPr>
        <w:t>五、技术履约验收内容：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left"/>
      </w:pPr>
      <w:r>
        <w:rPr>
          <w:rFonts w:ascii="仿宋_GB2312" w:hAnsi="仿宋_GB2312" w:cs="仿宋_GB2312" w:eastAsia="仿宋_GB2312"/>
        </w:rPr>
        <w:t>六、商务履约验收内容：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left"/>
      </w:pPr>
      <w:r>
        <w:rPr>
          <w:rFonts w:ascii="仿宋_GB2312" w:hAnsi="仿宋_GB2312" w:cs="仿宋_GB2312" w:eastAsia="仿宋_GB2312"/>
        </w:rPr>
        <w:t>七、履约验收标准：</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按照合同条款和项目需求，由采购人进行验收，参照《山东省政府采购履约验收管理办法》</w:t>
      </w:r>
    </w:p>
    <w:p>
      <w:pPr>
        <w:pStyle w:val="null5"/>
        <w:ind w:firstLine="480"/>
        <w:jc w:val="left"/>
      </w:pPr>
      <w:r>
        <w:rPr>
          <w:rFonts w:ascii="仿宋_GB2312" w:hAnsi="仿宋_GB2312" w:cs="仿宋_GB2312" w:eastAsia="仿宋_GB2312"/>
        </w:rPr>
        <w:t>八、履约验收其他事项：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5"/>
        <w:ind w:firstLine="480"/>
        <w:jc w:val="left"/>
      </w:pPr>
      <w:r>
        <w:rPr>
          <w:rFonts w:ascii="仿宋_GB2312" w:hAnsi="仿宋_GB2312" w:cs="仿宋_GB2312" w:eastAsia="仿宋_GB2312"/>
        </w:rPr>
        <w:t>2.6.7.资金支付</w:t>
      </w:r>
    </w:p>
    <w:p>
      <w:pPr>
        <w:pStyle w:val="null5"/>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left"/>
      </w:pPr>
      <w:r>
        <w:rPr>
          <w:rFonts w:ascii="仿宋_GB2312" w:hAnsi="仿宋_GB2312" w:cs="仿宋_GB2312" w:eastAsia="仿宋_GB2312"/>
        </w:rPr>
        <w:t>2.7.1.保密要求</w:t>
      </w:r>
    </w:p>
    <w:p>
      <w:pPr>
        <w:pStyle w:val="null5"/>
        <w:ind w:firstLine="480"/>
        <w:jc w:val="left"/>
      </w:pPr>
      <w:r>
        <w:rPr>
          <w:rFonts w:ascii="仿宋_GB2312" w:hAnsi="仿宋_GB2312" w:cs="仿宋_GB2312" w:eastAsia="仿宋_GB2312"/>
        </w:rPr>
        <w:t>采购人、代理机构应当按照《中华人民共和国政府采购法》《政府采购非招标采购方式管理办法》《政府采购竞争性磋商采购方式管理暂行办法》等法律制度的规定组织开展非招标采购活动，并采取必要措施，保证评审在严格保密的情况下进行。</w:t>
      </w:r>
    </w:p>
    <w:p>
      <w:pPr>
        <w:pStyle w:val="null5"/>
        <w:ind w:firstLine="480"/>
        <w:jc w:val="left"/>
      </w:pPr>
      <w:r>
        <w:rPr>
          <w:rFonts w:ascii="仿宋_GB2312" w:hAnsi="仿宋_GB2312" w:cs="仿宋_GB2312" w:eastAsia="仿宋_GB2312"/>
        </w:rPr>
        <w:t>有关人员对评审情况以及在评审过程中获悉的国家秘密、商业秘密负有保密责任。</w:t>
      </w:r>
    </w:p>
    <w:p>
      <w:pPr>
        <w:pStyle w:val="null5"/>
        <w:ind w:firstLine="480"/>
        <w:jc w:val="left"/>
      </w:pPr>
      <w:r>
        <w:rPr>
          <w:rFonts w:ascii="仿宋_GB2312" w:hAnsi="仿宋_GB2312" w:cs="仿宋_GB2312" w:eastAsia="仿宋_GB2312"/>
        </w:rPr>
        <w:t>2.7.2.供应商不得具有的情形</w:t>
      </w:r>
    </w:p>
    <w:p>
      <w:pPr>
        <w:pStyle w:val="null5"/>
        <w:ind w:firstLine="480"/>
        <w:jc w:val="left"/>
      </w:pPr>
      <w:r>
        <w:rPr>
          <w:rFonts w:ascii="仿宋_GB2312" w:hAnsi="仿宋_GB2312" w:cs="仿宋_GB2312" w:eastAsia="仿宋_GB2312"/>
        </w:rPr>
        <w:t>供应商参加磋商不得有下列情形：</w:t>
      </w:r>
    </w:p>
    <w:p>
      <w:pPr>
        <w:pStyle w:val="null5"/>
        <w:ind w:firstLine="480"/>
        <w:jc w:val="left"/>
      </w:pPr>
      <w:r>
        <w:rPr>
          <w:rFonts w:ascii="仿宋_GB2312" w:hAnsi="仿宋_GB2312" w:cs="仿宋_GB2312" w:eastAsia="仿宋_GB2312"/>
        </w:rPr>
        <w:t>一、有下列情形之一的，视为供应商串通响应：</w:t>
      </w:r>
    </w:p>
    <w:p>
      <w:pPr>
        <w:pStyle w:val="null5"/>
        <w:ind w:firstLine="480"/>
        <w:jc w:val="left"/>
      </w:pPr>
      <w:r>
        <w:rPr>
          <w:rFonts w:ascii="仿宋_GB2312" w:hAnsi="仿宋_GB2312" w:cs="仿宋_GB2312" w:eastAsia="仿宋_GB2312"/>
        </w:rPr>
        <w:t>（一）不同供应商的响应文件由同一单位或者个人编制；</w:t>
      </w:r>
    </w:p>
    <w:p>
      <w:pPr>
        <w:pStyle w:val="null5"/>
        <w:ind w:firstLine="480"/>
        <w:jc w:val="left"/>
      </w:pPr>
      <w:r>
        <w:rPr>
          <w:rFonts w:ascii="仿宋_GB2312" w:hAnsi="仿宋_GB2312" w:cs="仿宋_GB2312" w:eastAsia="仿宋_GB2312"/>
        </w:rPr>
        <w:t>（二）不同供应商委托同一单位或者个人办理投标事宜；</w:t>
      </w:r>
    </w:p>
    <w:p>
      <w:pPr>
        <w:pStyle w:val="null5"/>
        <w:ind w:firstLine="480"/>
        <w:jc w:val="left"/>
      </w:pPr>
      <w:r>
        <w:rPr>
          <w:rFonts w:ascii="仿宋_GB2312" w:hAnsi="仿宋_GB2312" w:cs="仿宋_GB2312" w:eastAsia="仿宋_GB2312"/>
        </w:rPr>
        <w:t>（三）不同供应商的响应文件载明的项目管理成员或者联系人员为同一人；</w:t>
      </w:r>
    </w:p>
    <w:p>
      <w:pPr>
        <w:pStyle w:val="null5"/>
        <w:ind w:firstLine="480"/>
        <w:jc w:val="left"/>
      </w:pPr>
      <w:r>
        <w:rPr>
          <w:rFonts w:ascii="仿宋_GB2312" w:hAnsi="仿宋_GB2312" w:cs="仿宋_GB2312" w:eastAsia="仿宋_GB2312"/>
        </w:rPr>
        <w:t>（四）不同供应商的响应文件异常一致或者响应报价呈规律性差异；</w:t>
      </w:r>
    </w:p>
    <w:p>
      <w:pPr>
        <w:pStyle w:val="null5"/>
        <w:ind w:firstLine="480"/>
        <w:jc w:val="left"/>
      </w:pPr>
      <w:r>
        <w:rPr>
          <w:rFonts w:ascii="仿宋_GB2312" w:hAnsi="仿宋_GB2312" w:cs="仿宋_GB2312" w:eastAsia="仿宋_GB2312"/>
        </w:rPr>
        <w:t>（五）不同供应商的响应文件相互混装；</w:t>
      </w:r>
    </w:p>
    <w:p>
      <w:pPr>
        <w:pStyle w:val="null5"/>
        <w:ind w:firstLine="480"/>
        <w:jc w:val="left"/>
      </w:pPr>
      <w:r>
        <w:rPr>
          <w:rFonts w:ascii="仿宋_GB2312" w:hAnsi="仿宋_GB2312" w:cs="仿宋_GB2312" w:eastAsia="仿宋_GB2312"/>
        </w:rPr>
        <w:t>（六）不同供应商的响应保证金从同一单位或者个人的账户转出。</w:t>
      </w:r>
    </w:p>
    <w:p>
      <w:pPr>
        <w:pStyle w:val="null5"/>
        <w:ind w:firstLine="480"/>
        <w:jc w:val="both"/>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5"/>
        <w:ind w:firstLine="480"/>
        <w:jc w:val="left"/>
      </w:pPr>
      <w:r>
        <w:rPr>
          <w:rFonts w:ascii="仿宋_GB2312" w:hAnsi="仿宋_GB2312" w:cs="仿宋_GB2312" w:eastAsia="仿宋_GB2312"/>
        </w:rPr>
        <w:t>（二）供应商按照采购人或者代理机构的授意撤换、修改响应文件；</w:t>
      </w:r>
    </w:p>
    <w:p>
      <w:pPr>
        <w:pStyle w:val="null5"/>
        <w:ind w:firstLine="480"/>
        <w:jc w:val="left"/>
      </w:pPr>
      <w:r>
        <w:rPr>
          <w:rFonts w:ascii="仿宋_GB2312" w:hAnsi="仿宋_GB2312" w:cs="仿宋_GB2312" w:eastAsia="仿宋_GB2312"/>
        </w:rPr>
        <w:t>（三）供应商之间协商报价、技术方案等响应文件的实质性内容；</w:t>
      </w:r>
    </w:p>
    <w:p>
      <w:pPr>
        <w:pStyle w:val="null5"/>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（五）供应商之间事先约定由某一特定供应商成交；</w:t>
      </w:r>
    </w:p>
    <w:p>
      <w:pPr>
        <w:pStyle w:val="null5"/>
        <w:ind w:firstLine="480"/>
        <w:jc w:val="left"/>
      </w:pPr>
      <w:r>
        <w:rPr>
          <w:rFonts w:ascii="仿宋_GB2312" w:hAnsi="仿宋_GB2312" w:cs="仿宋_GB2312" w:eastAsia="仿宋_GB2312"/>
        </w:rPr>
        <w:t>（六）供应商之间商定部分供应商放弃参加政府采购活动或者放弃成交；</w:t>
      </w:r>
    </w:p>
    <w:p>
      <w:pPr>
        <w:pStyle w:val="null5"/>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三、提供虚假材料谋取成交；</w:t>
      </w:r>
    </w:p>
    <w:p>
      <w:pPr>
        <w:pStyle w:val="null5"/>
        <w:ind w:firstLine="480"/>
        <w:jc w:val="left"/>
      </w:pPr>
      <w:r>
        <w:rPr>
          <w:rFonts w:ascii="仿宋_GB2312" w:hAnsi="仿宋_GB2312" w:cs="仿宋_GB2312" w:eastAsia="仿宋_GB2312"/>
        </w:rPr>
        <w:t>四、采取不正当手段诋毁、排挤其他供应商；</w:t>
      </w:r>
    </w:p>
    <w:p>
      <w:pPr>
        <w:pStyle w:val="null5"/>
        <w:ind w:firstLine="480"/>
        <w:jc w:val="left"/>
      </w:pPr>
      <w:r>
        <w:rPr>
          <w:rFonts w:ascii="仿宋_GB2312" w:hAnsi="仿宋_GB2312" w:cs="仿宋_GB2312" w:eastAsia="仿宋_GB2312"/>
        </w:rPr>
        <w:t>五、与采购人或者代理机构、其他供应商恶意串通；</w:t>
      </w:r>
    </w:p>
    <w:p>
      <w:pPr>
        <w:pStyle w:val="null5"/>
        <w:ind w:firstLine="480"/>
        <w:jc w:val="left"/>
      </w:pPr>
      <w:r>
        <w:rPr>
          <w:rFonts w:ascii="仿宋_GB2312" w:hAnsi="仿宋_GB2312" w:cs="仿宋_GB2312" w:eastAsia="仿宋_GB2312"/>
        </w:rPr>
        <w:t>六、向采购人或者代理机构、磋商小组成员行贿或者提供其他不正当利益；</w:t>
      </w:r>
    </w:p>
    <w:p>
      <w:pPr>
        <w:pStyle w:val="null5"/>
        <w:ind w:firstLine="480"/>
        <w:jc w:val="left"/>
      </w:pPr>
      <w:r>
        <w:rPr>
          <w:rFonts w:ascii="仿宋_GB2312" w:hAnsi="仿宋_GB2312" w:cs="仿宋_GB2312" w:eastAsia="仿宋_GB2312"/>
        </w:rPr>
        <w:t>七、成交后无正当理由拒不与采购人签订政府采购合同；</w:t>
      </w:r>
    </w:p>
    <w:p>
      <w:pPr>
        <w:pStyle w:val="null5"/>
        <w:ind w:firstLine="480"/>
        <w:jc w:val="left"/>
      </w:pPr>
      <w:r>
        <w:rPr>
          <w:rFonts w:ascii="仿宋_GB2312" w:hAnsi="仿宋_GB2312" w:cs="仿宋_GB2312" w:eastAsia="仿宋_GB2312"/>
        </w:rPr>
        <w:t>八、未按照磋商文件确定的事项签订政府采购合同；</w:t>
      </w:r>
    </w:p>
    <w:p>
      <w:pPr>
        <w:pStyle w:val="null5"/>
        <w:ind w:firstLine="480"/>
        <w:jc w:val="left"/>
      </w:pPr>
      <w:r>
        <w:rPr>
          <w:rFonts w:ascii="仿宋_GB2312" w:hAnsi="仿宋_GB2312" w:cs="仿宋_GB2312" w:eastAsia="仿宋_GB2312"/>
        </w:rPr>
        <w:t>九、将政府采购合同转包或者违规分包；</w:t>
      </w:r>
    </w:p>
    <w:p>
      <w:pPr>
        <w:pStyle w:val="null5"/>
        <w:ind w:firstLine="480"/>
        <w:jc w:val="left"/>
      </w:pPr>
      <w:r>
        <w:rPr>
          <w:rFonts w:ascii="仿宋_GB2312" w:hAnsi="仿宋_GB2312" w:cs="仿宋_GB2312" w:eastAsia="仿宋_GB2312"/>
        </w:rPr>
        <w:t>十、提供假冒伪劣产品；</w:t>
      </w:r>
    </w:p>
    <w:p>
      <w:pPr>
        <w:pStyle w:val="null5"/>
        <w:ind w:firstLine="480"/>
        <w:jc w:val="left"/>
      </w:pPr>
      <w:r>
        <w:rPr>
          <w:rFonts w:ascii="仿宋_GB2312" w:hAnsi="仿宋_GB2312" w:cs="仿宋_GB2312" w:eastAsia="仿宋_GB2312"/>
        </w:rPr>
        <w:t>十一、擅自变更、中止或者终止政府采购合同；</w:t>
      </w:r>
    </w:p>
    <w:p>
      <w:pPr>
        <w:pStyle w:val="null5"/>
        <w:ind w:firstLine="480"/>
        <w:jc w:val="left"/>
      </w:pPr>
      <w:r>
        <w:rPr>
          <w:rFonts w:ascii="仿宋_GB2312" w:hAnsi="仿宋_GB2312" w:cs="仿宋_GB2312" w:eastAsia="仿宋_GB2312"/>
        </w:rPr>
        <w:t>十二、拒绝有关部门的监督检查或者向监督检查部门提供虚假情况；</w:t>
      </w:r>
    </w:p>
    <w:p>
      <w:pPr>
        <w:pStyle w:val="null5"/>
        <w:ind w:firstLine="480"/>
        <w:jc w:val="left"/>
      </w:pPr>
      <w:r>
        <w:rPr>
          <w:rFonts w:ascii="仿宋_GB2312" w:hAnsi="仿宋_GB2312" w:cs="仿宋_GB2312" w:eastAsia="仿宋_GB2312"/>
        </w:rPr>
        <w:t>十三、法律法规规定的其他禁止情形。</w:t>
      </w:r>
    </w:p>
    <w:p>
      <w:pPr>
        <w:pStyle w:val="null5"/>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pPr>
      <w:r>
        <w:rPr>
          <w:rFonts w:ascii="仿宋_GB2312" w:hAnsi="仿宋_GB2312" w:cs="仿宋_GB2312" w:eastAsia="仿宋_GB2312"/>
        </w:rPr>
        <w:t>2.7.3.采购人员及相关人员回避要求</w:t>
      </w:r>
    </w:p>
    <w:p>
      <w:pPr>
        <w:pStyle w:val="null5"/>
        <w:ind w:firstLine="480"/>
        <w:jc w:val="left"/>
      </w:pPr>
      <w:r>
        <w:rPr>
          <w:rFonts w:ascii="仿宋_GB2312" w:hAnsi="仿宋_GB2312" w:cs="仿宋_GB2312" w:eastAsia="仿宋_GB2312"/>
        </w:rPr>
        <w:t>政府采购活动中，采购人员及相关人员与供应商有下列利害关系之一的，应当回避：</w:t>
      </w:r>
    </w:p>
    <w:p>
      <w:pPr>
        <w:pStyle w:val="null5"/>
        <w:ind w:firstLine="480"/>
        <w:jc w:val="left"/>
      </w:pPr>
      <w:r>
        <w:rPr>
          <w:rFonts w:ascii="仿宋_GB2312" w:hAnsi="仿宋_GB2312" w:cs="仿宋_GB2312" w:eastAsia="仿宋_GB2312"/>
        </w:rPr>
        <w:t>一、参加采购活动前 3 年内与供应商存在劳动关系；</w:t>
      </w:r>
    </w:p>
    <w:p>
      <w:pPr>
        <w:pStyle w:val="null5"/>
        <w:ind w:firstLine="480"/>
        <w:jc w:val="left"/>
      </w:pPr>
      <w:r>
        <w:rPr>
          <w:rFonts w:ascii="仿宋_GB2312" w:hAnsi="仿宋_GB2312" w:cs="仿宋_GB2312" w:eastAsia="仿宋_GB2312"/>
        </w:rPr>
        <w:t>二、参加采购活动前 3 年内担任供应商的董事、监事；</w:t>
      </w:r>
    </w:p>
    <w:p>
      <w:pPr>
        <w:pStyle w:val="null5"/>
        <w:ind w:firstLine="480"/>
        <w:jc w:val="left"/>
      </w:pPr>
      <w:r>
        <w:rPr>
          <w:rFonts w:ascii="仿宋_GB2312" w:hAnsi="仿宋_GB2312" w:cs="仿宋_GB2312" w:eastAsia="仿宋_GB2312"/>
        </w:rPr>
        <w:t>三、参加采购活动前 3 年内是供应商的控股股东或者实际控制人；</w:t>
      </w:r>
    </w:p>
    <w:p>
      <w:pPr>
        <w:pStyle w:val="null5"/>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五、与供应商有其他可能影响政府采购活动公平、公正进行的关系。</w:t>
      </w:r>
    </w:p>
    <w:p>
      <w:pPr>
        <w:pStyle w:val="null5"/>
        <w:ind w:firstLine="480"/>
        <w:jc w:val="both"/>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left"/>
      </w:pPr>
      <w:r>
        <w:rPr>
          <w:rFonts w:ascii="仿宋_GB2312" w:hAnsi="仿宋_GB2312" w:cs="仿宋_GB2312" w:eastAsia="仿宋_GB2312"/>
        </w:rPr>
        <w:t>二、供应商询问、质疑的答复主体：</w:t>
      </w:r>
    </w:p>
    <w:p>
      <w:pPr>
        <w:pStyle w:val="null5"/>
        <w:ind w:firstLine="480"/>
        <w:jc w:val="left"/>
      </w:pPr>
      <w:r>
        <w:rPr>
          <w:rFonts w:ascii="仿宋_GB2312" w:hAnsi="仿宋_GB2312" w:cs="仿宋_GB2312" w:eastAsia="仿宋_GB2312"/>
        </w:rPr>
        <w:t>根据委托代理协议约定，供应商对磋商文件中采购需求的询问、质疑由</w:t>
      </w:r>
      <w:r>
        <w:rPr>
          <w:rFonts w:ascii="仿宋_GB2312" w:hAnsi="仿宋_GB2312" w:cs="仿宋_GB2312" w:eastAsia="仿宋_GB2312"/>
        </w:rPr>
        <w:t>山东石油化工学院</w:t>
      </w:r>
      <w:r>
        <w:rPr>
          <w:rFonts w:ascii="仿宋_GB2312" w:hAnsi="仿宋_GB2312" w:cs="仿宋_GB2312" w:eastAsia="仿宋_GB2312"/>
        </w:rPr>
        <w:t>负责答复；供应商对除采购需求外的磋商文件的询问、质疑由</w:t>
      </w:r>
      <w:r>
        <w:rPr>
          <w:rFonts w:ascii="仿宋_GB2312" w:hAnsi="仿宋_GB2312" w:cs="仿宋_GB2312" w:eastAsia="仿宋_GB2312"/>
        </w:rPr>
        <w:t>山东浩锐工程咨询有限公司</w:t>
      </w:r>
      <w:r>
        <w:rPr>
          <w:rFonts w:ascii="仿宋_GB2312" w:hAnsi="仿宋_GB2312" w:cs="仿宋_GB2312" w:eastAsia="仿宋_GB2312"/>
        </w:rPr>
        <w:t>负责答复；供应商对采购过程、采购结果的询问、质疑由</w:t>
      </w:r>
      <w:r>
        <w:rPr>
          <w:rFonts w:ascii="仿宋_GB2312" w:hAnsi="仿宋_GB2312" w:cs="仿宋_GB2312" w:eastAsia="仿宋_GB2312"/>
        </w:rPr>
        <w:t>山东浩锐工程咨询有限公司</w:t>
      </w:r>
      <w:r>
        <w:rPr>
          <w:rFonts w:ascii="仿宋_GB2312" w:hAnsi="仿宋_GB2312" w:cs="仿宋_GB2312" w:eastAsia="仿宋_GB2312"/>
        </w:rPr>
        <w:t>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联系人：高女士</w:t>
      </w:r>
    </w:p>
    <w:p>
      <w:pPr>
        <w:pStyle w:val="null5"/>
        <w:jc w:val="left"/>
      </w:pPr>
      <w:r>
        <w:rPr>
          <w:rFonts w:ascii="仿宋_GB2312" w:hAnsi="仿宋_GB2312" w:cs="仿宋_GB2312" w:eastAsia="仿宋_GB2312"/>
        </w:rPr>
        <w:t>联系电话：0546-7766671</w:t>
      </w:r>
    </w:p>
    <w:p>
      <w:pPr>
        <w:pStyle w:val="null5"/>
        <w:jc w:val="left"/>
      </w:pPr>
      <w:r>
        <w:rPr>
          <w:rFonts w:ascii="仿宋_GB2312" w:hAnsi="仿宋_GB2312" w:cs="仿宋_GB2312" w:eastAsia="仿宋_GB2312"/>
        </w:rPr>
        <w:t>地址：山东省东营市东营区东二路 239 号</w:t>
      </w:r>
    </w:p>
    <w:p>
      <w:pPr>
        <w:pStyle w:val="null5"/>
        <w:jc w:val="left"/>
      </w:pPr>
      <w:r>
        <w:rPr>
          <w:rFonts w:ascii="仿宋_GB2312" w:hAnsi="仿宋_GB2312" w:cs="仿宋_GB2312" w:eastAsia="仿宋_GB2312"/>
        </w:rPr>
        <w:t>邮编：257000</w:t>
      </w:r>
    </w:p>
    <w:p>
      <w:pPr>
        <w:pStyle w:val="null5"/>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5"/>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 7 个工作日内，以书面形式向采购人、代理机构提出质疑。供应商应在法定质疑期内一次性提出针对同一采购程序环节的质疑。供应商应知其权益受到损害之日，是指：</w:t>
      </w:r>
    </w:p>
    <w:p>
      <w:pPr>
        <w:pStyle w:val="null5"/>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5"/>
        <w:ind w:firstLine="480"/>
        <w:jc w:val="left"/>
      </w:pPr>
      <w:r>
        <w:rPr>
          <w:rFonts w:ascii="仿宋_GB2312" w:hAnsi="仿宋_GB2312" w:cs="仿宋_GB2312" w:eastAsia="仿宋_GB2312"/>
        </w:rPr>
        <w:t>（二）对采购过程提出质疑的，为各采购程序环节结束之日；</w:t>
      </w:r>
    </w:p>
    <w:p>
      <w:pPr>
        <w:pStyle w:val="null5"/>
        <w:ind w:firstLine="480"/>
        <w:jc w:val="left"/>
      </w:pPr>
      <w:r>
        <w:rPr>
          <w:rFonts w:ascii="仿宋_GB2312" w:hAnsi="仿宋_GB2312" w:cs="仿宋_GB2312" w:eastAsia="仿宋_GB2312"/>
        </w:rPr>
        <w:t>（三）对成交结果提出质疑的，为成交结果公告期限届满之日。</w:t>
      </w:r>
    </w:p>
    <w:p>
      <w:pPr>
        <w:pStyle w:val="null5"/>
        <w:ind w:firstLine="480"/>
        <w:jc w:val="left"/>
      </w:pPr>
      <w:r>
        <w:rPr>
          <w:rFonts w:ascii="仿宋_GB2312" w:hAnsi="仿宋_GB2312" w:cs="仿宋_GB2312" w:eastAsia="仿宋_GB2312"/>
        </w:rPr>
        <w:t>五、供应商通过书面形式向采购人或者代理机构提交质疑资料。</w:t>
      </w:r>
    </w:p>
    <w:p>
      <w:pPr>
        <w:pStyle w:val="null5"/>
        <w:ind w:firstLine="480"/>
        <w:jc w:val="left"/>
      </w:pPr>
      <w:r>
        <w:rPr>
          <w:rFonts w:ascii="仿宋_GB2312" w:hAnsi="仿宋_GB2312" w:cs="仿宋_GB2312" w:eastAsia="仿宋_GB2312"/>
        </w:rPr>
        <w:t>六、供应商提出质疑时应当准备的资料：</w:t>
      </w:r>
    </w:p>
    <w:p>
      <w:pPr>
        <w:pStyle w:val="null5"/>
        <w:ind w:firstLine="480"/>
        <w:jc w:val="left"/>
      </w:pPr>
      <w:r>
        <w:rPr>
          <w:rFonts w:ascii="仿宋_GB2312" w:hAnsi="仿宋_GB2312" w:cs="仿宋_GB2312" w:eastAsia="仿宋_GB2312"/>
        </w:rPr>
        <w:t>（一）质疑函正本 1 份；</w:t>
      </w:r>
    </w:p>
    <w:p>
      <w:pPr>
        <w:pStyle w:val="null5"/>
        <w:ind w:firstLine="480"/>
        <w:jc w:val="left"/>
      </w:pPr>
      <w:r>
        <w:rPr>
          <w:rFonts w:ascii="仿宋_GB2312" w:hAnsi="仿宋_GB2312" w:cs="仿宋_GB2312" w:eastAsia="仿宋_GB2312"/>
        </w:rPr>
        <w:t>（二）法定代表人或主要负责人授权委托书 1 份（委托代理人办理质疑事宜的需提供）；</w:t>
      </w:r>
    </w:p>
    <w:p>
      <w:pPr>
        <w:pStyle w:val="null5"/>
        <w:ind w:firstLine="480"/>
        <w:jc w:val="left"/>
      </w:pPr>
      <w:r>
        <w:rPr>
          <w:rFonts w:ascii="仿宋_GB2312" w:hAnsi="仿宋_GB2312" w:cs="仿宋_GB2312" w:eastAsia="仿宋_GB2312"/>
        </w:rPr>
        <w:t>（三）法定代表人或主要负责人身份证复印件 1 份；</w:t>
      </w:r>
    </w:p>
    <w:p>
      <w:pPr>
        <w:pStyle w:val="null5"/>
        <w:ind w:firstLine="480"/>
        <w:jc w:val="left"/>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5"/>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5"/>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 15 个工作日内向同级财政部门提起投诉。</w:t>
      </w:r>
    </w:p>
    <w:p>
      <w:pPr>
        <w:pStyle w:val="null5"/>
        <w:ind w:firstLine="480"/>
        <w:jc w:val="left"/>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5"/>
        <w:ind w:firstLine="480"/>
        <w:jc w:val="left"/>
      </w:pPr>
      <w:r>
        <w:rPr>
          <w:rFonts w:ascii="仿宋_GB2312" w:hAnsi="仿宋_GB2312" w:cs="仿宋_GB2312" w:eastAsia="仿宋_GB2312"/>
        </w:rPr>
        <w:t>（一）拒收质疑供应商在法定质疑期内发出的质疑函；</w:t>
      </w:r>
    </w:p>
    <w:p>
      <w:pPr>
        <w:pStyle w:val="null5"/>
        <w:ind w:firstLine="480"/>
        <w:jc w:val="left"/>
      </w:pPr>
      <w:r>
        <w:rPr>
          <w:rFonts w:ascii="仿宋_GB2312" w:hAnsi="仿宋_GB2312" w:cs="仿宋_GB2312" w:eastAsia="仿宋_GB2312"/>
        </w:rPr>
        <w:t>（二）对质疑不予答复或者答复与事实明显不符，并不能作出合理说明；</w:t>
      </w:r>
    </w:p>
    <w:p>
      <w:pPr>
        <w:pStyle w:val="null5"/>
        <w:ind w:firstLine="480"/>
        <w:jc w:val="left"/>
      </w:pPr>
      <w:r>
        <w:rPr>
          <w:rFonts w:ascii="仿宋_GB2312" w:hAnsi="仿宋_GB2312" w:cs="仿宋_GB2312" w:eastAsia="仿宋_GB2312"/>
        </w:rPr>
        <w:t>（三）拒绝配合财政部门处理投诉事宜。</w:t>
      </w:r>
    </w:p>
    <w:p>
      <w:pPr>
        <w:pStyle w:val="null5"/>
        <w:ind w:firstLine="480"/>
        <w:jc w:val="both"/>
      </w:pPr>
      <w:r>
        <w:rPr>
          <w:rFonts w:ascii="仿宋_GB2312" w:hAnsi="仿宋_GB2312" w:cs="仿宋_GB2312" w:eastAsia="仿宋_GB2312"/>
        </w:rPr>
        <w:t>供应商在全国范围 12 个月内三次以上投诉查无实据的，由财政部门列入不良行为记录名单。供应商有下列行为之一的，属于虚假、恶意投诉，由财政部门列入不良行为记录名单，禁止其1至3年内参加政府采购活动：</w:t>
      </w:r>
    </w:p>
    <w:p>
      <w:pPr>
        <w:pStyle w:val="null5"/>
        <w:ind w:firstLine="480"/>
        <w:jc w:val="left"/>
      </w:pPr>
      <w:r>
        <w:rPr>
          <w:rFonts w:ascii="仿宋_GB2312" w:hAnsi="仿宋_GB2312" w:cs="仿宋_GB2312" w:eastAsia="仿宋_GB2312"/>
        </w:rPr>
        <w:t>（一）捏造事实；</w:t>
      </w:r>
    </w:p>
    <w:p>
      <w:pPr>
        <w:pStyle w:val="null5"/>
        <w:ind w:firstLine="480"/>
        <w:jc w:val="left"/>
      </w:pPr>
      <w:r>
        <w:rPr>
          <w:rFonts w:ascii="仿宋_GB2312" w:hAnsi="仿宋_GB2312" w:cs="仿宋_GB2312" w:eastAsia="仿宋_GB2312"/>
        </w:rPr>
        <w:t>（二）提供虚假材料；</w:t>
      </w:r>
    </w:p>
    <w:p>
      <w:pPr>
        <w:pStyle w:val="null5"/>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5"/>
        <w:ind w:firstLine="480"/>
        <w:jc w:val="left"/>
        <w:outlineLvl w:val="2"/>
      </w:pPr>
      <w:r>
        <w:rPr>
          <w:rFonts w:ascii="仿宋_GB2312" w:hAnsi="仿宋_GB2312" w:cs="仿宋_GB2312" w:eastAsia="仿宋_GB2312"/>
          <w:sz w:val="28"/>
          <w:b/>
        </w:rPr>
        <w:t>2.9.电子化采购特殊情形处理</w:t>
      </w:r>
    </w:p>
    <w:p>
      <w:pPr>
        <w:pStyle w:val="null5"/>
        <w:ind w:firstLine="480"/>
        <w:jc w:val="both"/>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left"/>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left"/>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5"/>
        <w:ind w:firstLine="480"/>
        <w:jc w:val="left"/>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5"/>
        <w:ind w:firstLine="480"/>
        <w:jc w:val="left"/>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left"/>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890,000.00</w:t>
      </w:r>
    </w:p>
    <w:p>
      <w:pPr>
        <w:pStyle w:val="null5"/>
        <w:jc w:val="left"/>
      </w:pPr>
      <w:r>
        <w:rPr>
          <w:rFonts w:ascii="仿宋_GB2312" w:hAnsi="仿宋_GB2312" w:cs="仿宋_GB2312" w:eastAsia="仿宋_GB2312"/>
        </w:rPr>
        <w:t>采购包最高限价（元）: 890,000.00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地震采集系统等</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890,000.00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left"/>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地震采集系统等</w:t>
            </w:r>
          </w:p>
        </w:tc>
        <w:tc>
          <w:tcPr>
            <w:tcW w:type="dxa" w:w="554"/>
          </w:tcPr>
          <w:p>
            <w:pPr>
              <w:pStyle w:val="null5"/>
              <w:jc w:val="left"/>
            </w:pPr>
            <w:r>
              <w:rPr>
                <w:rFonts w:ascii="仿宋_GB2312" w:hAnsi="仿宋_GB2312" w:cs="仿宋_GB2312" w:eastAsia="仿宋_GB2312"/>
              </w:rPr>
              <w:t>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890,000.00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地震采集系统等</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地震采集系统</w:t>
            </w:r>
          </w:p>
        </w:tc>
        <w:tc>
          <w:tcPr>
            <w:tcW w:type="dxa" w:w="2076"/>
          </w:tcPr>
          <w:p>
            <w:pPr>
              <w:pStyle w:val="null5"/>
              <w:jc w:val="left"/>
            </w:pPr>
            <w:r>
              <w:rPr>
                <w:rFonts w:ascii="仿宋_GB2312" w:hAnsi="仿宋_GB2312" w:cs="仿宋_GB2312" w:eastAsia="仿宋_GB2312"/>
              </w:rPr>
              <w:t>地震采集系统</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高密度电法仪</w:t>
            </w:r>
          </w:p>
        </w:tc>
        <w:tc>
          <w:tcPr>
            <w:tcW w:type="dxa" w:w="2076"/>
          </w:tcPr>
          <w:p>
            <w:pPr>
              <w:pStyle w:val="null5"/>
              <w:jc w:val="left"/>
            </w:pPr>
            <w:r>
              <w:rPr>
                <w:rFonts w:ascii="仿宋_GB2312" w:hAnsi="仿宋_GB2312" w:cs="仿宋_GB2312" w:eastAsia="仿宋_GB2312"/>
              </w:rPr>
              <w:t>高密度电法仪</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质子磁力仪</w:t>
            </w:r>
          </w:p>
        </w:tc>
        <w:tc>
          <w:tcPr>
            <w:tcW w:type="dxa" w:w="2076"/>
          </w:tcPr>
          <w:p>
            <w:pPr>
              <w:pStyle w:val="null5"/>
              <w:jc w:val="left"/>
            </w:pPr>
            <w:r>
              <w:rPr>
                <w:rFonts w:ascii="仿宋_GB2312" w:hAnsi="仿宋_GB2312" w:cs="仿宋_GB2312" w:eastAsia="仿宋_GB2312"/>
              </w:rPr>
              <w:t>质子磁力仪</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5"/>
        <w:ind w:firstLine="480"/>
        <w:jc w:val="left"/>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地震仪器</w:t>
            </w:r>
          </w:p>
        </w:tc>
        <w:tc>
          <w:tcPr>
            <w:tcW w:type="dxa" w:w="2492"/>
          </w:tcPr>
          <w:p>
            <w:pPr>
              <w:pStyle w:val="null5"/>
              <w:jc w:val="left"/>
            </w:pPr>
            <w:r>
              <w:rPr>
                <w:rFonts w:ascii="仿宋_GB2312" w:hAnsi="仿宋_GB2312" w:cs="仿宋_GB2312" w:eastAsia="仿宋_GB2312"/>
              </w:rPr>
              <w:t>地震采集系统等</w:t>
            </w:r>
          </w:p>
        </w:tc>
        <w:tc>
          <w:tcPr>
            <w:tcW w:type="dxa" w:w="2492"/>
          </w:tcPr>
          <w:p>
            <w:pPr>
              <w:pStyle w:val="null5"/>
              <w:jc w:val="left"/>
            </w:pPr>
            <w:r>
              <w:rPr>
                <w:rFonts w:ascii="仿宋_GB2312" w:hAnsi="仿宋_GB2312" w:cs="仿宋_GB2312" w:eastAsia="仿宋_GB2312"/>
              </w:rPr>
              <w:t>地震采集系统</w:t>
            </w:r>
          </w:p>
        </w:tc>
      </w:tr>
    </w:tbl>
    <w:p>
      <w:pPr>
        <w:pStyle w:val="null5"/>
        <w:ind w:firstLine="480"/>
        <w:jc w:val="left"/>
      </w:pPr>
      <w:r>
        <w:rPr>
          <w:rFonts w:ascii="仿宋_GB2312" w:hAnsi="仿宋_GB2312" w:cs="仿宋_GB2312" w:eastAsia="仿宋_GB2312"/>
        </w:rPr>
        <w:t>注：涉及核心产品的，具体评审规定见第五章。</w:t>
      </w:r>
    </w:p>
    <w:p>
      <w:pPr>
        <w:pStyle w:val="null5"/>
        <w:ind w:firstLine="480"/>
        <w:jc w:val="left"/>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5"/>
        <w:ind w:firstLine="480"/>
        <w:jc w:val="left"/>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5"/>
        <w:ind w:firstLine="480"/>
        <w:jc w:val="left"/>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5"/>
        <w:ind w:firstLine="480"/>
        <w:jc w:val="left"/>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标的名称：地震采集系统等</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地震采集系统</w:t>
            </w:r>
          </w:p>
        </w:tc>
        <w:tc>
          <w:tcPr>
            <w:tcW w:type="dxa" w:w="2076"/>
          </w:tcPr>
          <w:p>
            <w:pPr>
              <w:pStyle w:val="null5"/>
              <w:jc w:val="left"/>
            </w:pPr>
            <w:r>
              <w:rPr>
                <w:rFonts w:ascii="仿宋_GB2312" w:hAnsi="仿宋_GB2312" w:cs="仿宋_GB2312" w:eastAsia="仿宋_GB2312"/>
                <w:sz w:val="22"/>
              </w:rPr>
              <w:t>数量：</w:t>
            </w:r>
            <w:r>
              <w:rPr>
                <w:rFonts w:ascii="仿宋_GB2312" w:hAnsi="仿宋_GB2312" w:cs="仿宋_GB2312" w:eastAsia="仿宋_GB2312"/>
                <w:sz w:val="22"/>
              </w:rPr>
              <w:t>1</w:t>
            </w:r>
            <w:r>
              <w:rPr>
                <w:rFonts w:ascii="仿宋_GB2312" w:hAnsi="仿宋_GB2312" w:cs="仿宋_GB2312" w:eastAsia="仿宋_GB2312"/>
                <w:sz w:val="22"/>
              </w:rPr>
              <w:t>套；</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地震采集系统</w:t>
            </w:r>
          </w:p>
        </w:tc>
        <w:tc>
          <w:tcPr>
            <w:tcW w:type="dxa" w:w="2076"/>
          </w:tcPr>
          <w:p>
            <w:pPr>
              <w:pStyle w:val="null5"/>
              <w:jc w:val="left"/>
            </w:pPr>
            <w:r>
              <w:rPr>
                <w:rFonts w:ascii="仿宋_GB2312" w:hAnsi="仿宋_GB2312" w:cs="仿宋_GB2312" w:eastAsia="仿宋_GB2312"/>
                <w:sz w:val="22"/>
              </w:rPr>
              <w:t>1.</w:t>
            </w:r>
            <w:r>
              <w:rPr>
                <w:rFonts w:ascii="仿宋_GB2312" w:hAnsi="仿宋_GB2312" w:cs="仿宋_GB2312" w:eastAsia="仿宋_GB2312"/>
                <w:sz w:val="22"/>
              </w:rPr>
              <w:t>系统组成：分布式地震采集系统，包含采集站（单站单道）、数据交叉站、便携式主控站、电源系统及配套采集处理软件；支持锤击、落重等多种震源触发方式，满足野外教学实践需求。</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地震采集系统</w:t>
            </w:r>
          </w:p>
        </w:tc>
        <w:tc>
          <w:tcPr>
            <w:tcW w:type="dxa" w:w="2076"/>
          </w:tcPr>
          <w:p>
            <w:pPr>
              <w:pStyle w:val="null5"/>
              <w:jc w:val="left"/>
            </w:pPr>
            <w:r>
              <w:rPr>
                <w:rFonts w:ascii="仿宋_GB2312" w:hAnsi="仿宋_GB2312" w:cs="仿宋_GB2312" w:eastAsia="仿宋_GB2312"/>
                <w:sz w:val="22"/>
              </w:rPr>
              <w:t>2.</w:t>
            </w:r>
            <w:r>
              <w:rPr>
                <w:rFonts w:ascii="仿宋_GB2312" w:hAnsi="仿宋_GB2312" w:cs="仿宋_GB2312" w:eastAsia="仿宋_GB2312"/>
                <w:sz w:val="22"/>
              </w:rPr>
              <w:t>系统规模：标配不少于</w:t>
            </w:r>
            <w:r>
              <w:rPr>
                <w:rFonts w:ascii="仿宋_GB2312" w:hAnsi="仿宋_GB2312" w:cs="仿宋_GB2312" w:eastAsia="仿宋_GB2312"/>
                <w:sz w:val="22"/>
              </w:rPr>
              <w:t>1</w:t>
            </w:r>
            <w:r>
              <w:rPr>
                <w:rFonts w:ascii="仿宋_GB2312" w:hAnsi="仿宋_GB2312" w:cs="仿宋_GB2312" w:eastAsia="仿宋_GB2312"/>
                <w:sz w:val="22"/>
              </w:rPr>
              <w:t>个数据交叉站，不少于</w:t>
            </w:r>
            <w:r>
              <w:rPr>
                <w:rFonts w:ascii="仿宋_GB2312" w:hAnsi="仿宋_GB2312" w:cs="仿宋_GB2312" w:eastAsia="仿宋_GB2312"/>
                <w:sz w:val="22"/>
              </w:rPr>
              <w:t>24</w:t>
            </w:r>
            <w:r>
              <w:rPr>
                <w:rFonts w:ascii="仿宋_GB2312" w:hAnsi="仿宋_GB2312" w:cs="仿宋_GB2312" w:eastAsia="仿宋_GB2312"/>
                <w:sz w:val="22"/>
              </w:rPr>
              <w:t>道采集单元；单链支持</w:t>
            </w:r>
            <w:r>
              <w:rPr>
                <w:rFonts w:ascii="仿宋_GB2312" w:hAnsi="仿宋_GB2312" w:cs="仿宋_GB2312" w:eastAsia="仿宋_GB2312"/>
                <w:sz w:val="22"/>
              </w:rPr>
              <w:t>4/8</w:t>
            </w:r>
            <w:r>
              <w:rPr>
                <w:rFonts w:ascii="仿宋_GB2312" w:hAnsi="仿宋_GB2312" w:cs="仿宋_GB2312" w:eastAsia="仿宋_GB2312"/>
                <w:sz w:val="22"/>
              </w:rPr>
              <w:t>道，交叉站单站支持不少于</w:t>
            </w:r>
            <w:r>
              <w:rPr>
                <w:rFonts w:ascii="仿宋_GB2312" w:hAnsi="仿宋_GB2312" w:cs="仿宋_GB2312" w:eastAsia="仿宋_GB2312"/>
                <w:sz w:val="22"/>
              </w:rPr>
              <w:t>48</w:t>
            </w:r>
            <w:r>
              <w:rPr>
                <w:rFonts w:ascii="仿宋_GB2312" w:hAnsi="仿宋_GB2312" w:cs="仿宋_GB2312" w:eastAsia="仿宋_GB2312"/>
                <w:sz w:val="22"/>
              </w:rPr>
              <w:t>道供电与数据传输，系统整体可扩展至</w:t>
            </w:r>
            <w:r>
              <w:rPr>
                <w:rFonts w:ascii="仿宋_GB2312" w:hAnsi="仿宋_GB2312" w:cs="仿宋_GB2312" w:eastAsia="仿宋_GB2312"/>
                <w:sz w:val="22"/>
              </w:rPr>
              <w:t>120</w:t>
            </w:r>
            <w:r>
              <w:rPr>
                <w:rFonts w:ascii="仿宋_GB2312" w:hAnsi="仿宋_GB2312" w:cs="仿宋_GB2312" w:eastAsia="仿宋_GB2312"/>
                <w:sz w:val="22"/>
              </w:rPr>
              <w:t>道及以上。</w:t>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地震采集系统</w:t>
            </w:r>
          </w:p>
        </w:tc>
        <w:tc>
          <w:tcPr>
            <w:tcW w:type="dxa" w:w="2076"/>
          </w:tcPr>
          <w:p>
            <w:pPr>
              <w:pStyle w:val="null5"/>
              <w:jc w:val="left"/>
            </w:pPr>
            <w:r>
              <w:rPr>
                <w:rFonts w:ascii="仿宋_GB2312" w:hAnsi="仿宋_GB2312" w:cs="仿宋_GB2312" w:eastAsia="仿宋_GB2312"/>
                <w:sz w:val="22"/>
              </w:rPr>
              <w:t>3.</w:t>
            </w:r>
            <w:r>
              <w:rPr>
                <w:rFonts w:ascii="仿宋_GB2312" w:hAnsi="仿宋_GB2312" w:cs="仿宋_GB2312" w:eastAsia="仿宋_GB2312"/>
                <w:sz w:val="22"/>
              </w:rPr>
              <w:t>主控站配置：内置工业级控制计算机，</w:t>
            </w:r>
            <w:r>
              <w:rPr>
                <w:rFonts w:ascii="仿宋_GB2312" w:hAnsi="仿宋_GB2312" w:cs="仿宋_GB2312" w:eastAsia="仿宋_GB2312"/>
                <w:sz w:val="22"/>
              </w:rPr>
              <w:t>CPU</w:t>
            </w:r>
            <w:r>
              <w:rPr>
                <w:rFonts w:ascii="仿宋_GB2312" w:hAnsi="仿宋_GB2312" w:cs="仿宋_GB2312" w:eastAsia="仿宋_GB2312"/>
                <w:sz w:val="22"/>
              </w:rPr>
              <w:t>性能不低于</w:t>
            </w:r>
            <w:r>
              <w:rPr>
                <w:rFonts w:ascii="仿宋_GB2312" w:hAnsi="仿宋_GB2312" w:cs="仿宋_GB2312" w:eastAsia="仿宋_GB2312"/>
                <w:sz w:val="22"/>
              </w:rPr>
              <w:t>Inteli5</w:t>
            </w:r>
            <w:r>
              <w:rPr>
                <w:rFonts w:ascii="仿宋_GB2312" w:hAnsi="仿宋_GB2312" w:cs="仿宋_GB2312" w:eastAsia="仿宋_GB2312"/>
                <w:sz w:val="22"/>
              </w:rPr>
              <w:t>同级别处理器，运行内存</w:t>
            </w:r>
            <w:r>
              <w:rPr>
                <w:rFonts w:ascii="仿宋_GB2312" w:hAnsi="仿宋_GB2312" w:cs="仿宋_GB2312" w:eastAsia="仿宋_GB2312"/>
                <w:sz w:val="22"/>
              </w:rPr>
              <w:t>≥16GB</w:t>
            </w:r>
            <w:r>
              <w:rPr>
                <w:rFonts w:ascii="仿宋_GB2312" w:hAnsi="仿宋_GB2312" w:cs="仿宋_GB2312" w:eastAsia="仿宋_GB2312"/>
                <w:sz w:val="22"/>
              </w:rPr>
              <w:t>，固态硬盘</w:t>
            </w:r>
            <w:r>
              <w:rPr>
                <w:rFonts w:ascii="仿宋_GB2312" w:hAnsi="仿宋_GB2312" w:cs="仿宋_GB2312" w:eastAsia="仿宋_GB2312"/>
                <w:sz w:val="22"/>
              </w:rPr>
              <w:t>≥500GB</w:t>
            </w:r>
            <w:r>
              <w:rPr>
                <w:rFonts w:ascii="仿宋_GB2312" w:hAnsi="仿宋_GB2312" w:cs="仿宋_GB2312" w:eastAsia="仿宋_GB2312"/>
                <w:sz w:val="22"/>
              </w:rPr>
              <w:t>；配备不小于</w:t>
            </w:r>
            <w:r>
              <w:rPr>
                <w:rFonts w:ascii="仿宋_GB2312" w:hAnsi="仿宋_GB2312" w:cs="仿宋_GB2312" w:eastAsia="仿宋_GB2312"/>
                <w:sz w:val="22"/>
              </w:rPr>
              <w:t>8</w:t>
            </w:r>
            <w:r>
              <w:rPr>
                <w:rFonts w:ascii="仿宋_GB2312" w:hAnsi="仿宋_GB2312" w:cs="仿宋_GB2312" w:eastAsia="仿宋_GB2312"/>
                <w:sz w:val="22"/>
              </w:rPr>
              <w:t>英寸彩色显示屏，户外强光环境下清晰可读。</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地震采集系统</w:t>
            </w:r>
          </w:p>
        </w:tc>
        <w:tc>
          <w:tcPr>
            <w:tcW w:type="dxa" w:w="2076"/>
          </w:tcPr>
          <w:p>
            <w:pPr>
              <w:pStyle w:val="null5"/>
              <w:jc w:val="left"/>
            </w:pPr>
            <w:r>
              <w:rPr>
                <w:rFonts w:ascii="仿宋_GB2312" w:hAnsi="仿宋_GB2312" w:cs="仿宋_GB2312" w:eastAsia="仿宋_GB2312"/>
                <w:sz w:val="22"/>
              </w:rPr>
              <w:t>4.</w:t>
            </w:r>
            <w:r>
              <w:rPr>
                <w:rFonts w:ascii="仿宋_GB2312" w:hAnsi="仿宋_GB2312" w:cs="仿宋_GB2312" w:eastAsia="仿宋_GB2312"/>
                <w:sz w:val="22"/>
              </w:rPr>
              <w:t>检波器性能：单分量垂直检波器，频率反射</w:t>
            </w:r>
            <w:r>
              <w:rPr>
                <w:rFonts w:ascii="仿宋_GB2312" w:hAnsi="仿宋_GB2312" w:cs="仿宋_GB2312" w:eastAsia="仿宋_GB2312"/>
                <w:sz w:val="22"/>
              </w:rPr>
              <w:t>4.5-60Hz</w:t>
            </w:r>
            <w:r>
              <w:rPr>
                <w:rFonts w:ascii="仿宋_GB2312" w:hAnsi="仿宋_GB2312" w:cs="仿宋_GB2312" w:eastAsia="仿宋_GB2312"/>
                <w:sz w:val="22"/>
              </w:rPr>
              <w:t>，灵敏度</w:t>
            </w:r>
            <w:r>
              <w:rPr>
                <w:rFonts w:ascii="仿宋_GB2312" w:hAnsi="仿宋_GB2312" w:cs="仿宋_GB2312" w:eastAsia="仿宋_GB2312"/>
                <w:sz w:val="22"/>
              </w:rPr>
              <w:t>≥55±5%V/m/s</w:t>
            </w:r>
            <w:r>
              <w:rPr>
                <w:rFonts w:ascii="仿宋_GB2312" w:hAnsi="仿宋_GB2312" w:cs="仿宋_GB2312" w:eastAsia="仿宋_GB2312"/>
                <w:sz w:val="22"/>
              </w:rPr>
              <w:t>；适用于浅层反射、折射、地震映像、面波等教学勘探方法。</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地震采集系统</w:t>
            </w:r>
          </w:p>
        </w:tc>
        <w:tc>
          <w:tcPr>
            <w:tcW w:type="dxa" w:w="2076"/>
          </w:tcPr>
          <w:p>
            <w:pPr>
              <w:pStyle w:val="null5"/>
              <w:jc w:val="left"/>
            </w:pPr>
            <w:r>
              <w:rPr>
                <w:rFonts w:ascii="仿宋_GB2312" w:hAnsi="仿宋_GB2312" w:cs="仿宋_GB2312" w:eastAsia="仿宋_GB2312"/>
                <w:sz w:val="22"/>
              </w:rPr>
              <w:t>5.</w:t>
            </w:r>
            <w:r>
              <w:rPr>
                <w:rFonts w:ascii="仿宋_GB2312" w:hAnsi="仿宋_GB2312" w:cs="仿宋_GB2312" w:eastAsia="仿宋_GB2312"/>
                <w:sz w:val="22"/>
              </w:rPr>
              <w:t>采集性能：</w:t>
            </w:r>
            <w:r>
              <w:rPr>
                <w:rFonts w:ascii="仿宋_GB2312" w:hAnsi="仿宋_GB2312" w:cs="仿宋_GB2312" w:eastAsia="仿宋_GB2312"/>
                <w:sz w:val="22"/>
              </w:rPr>
              <w:t>24</w:t>
            </w:r>
            <w:r>
              <w:rPr>
                <w:rFonts w:ascii="仿宋_GB2312" w:hAnsi="仿宋_GB2312" w:cs="仿宋_GB2312" w:eastAsia="仿宋_GB2312"/>
                <w:sz w:val="22"/>
              </w:rPr>
              <w:t>位</w:t>
            </w:r>
            <w:r>
              <w:rPr>
                <w:rFonts w:ascii="仿宋_GB2312" w:hAnsi="仿宋_GB2312" w:cs="仿宋_GB2312" w:eastAsia="仿宋_GB2312"/>
                <w:sz w:val="22"/>
              </w:rPr>
              <w:t>A/D</w:t>
            </w:r>
            <w:r>
              <w:rPr>
                <w:rFonts w:ascii="仿宋_GB2312" w:hAnsi="仿宋_GB2312" w:cs="仿宋_GB2312" w:eastAsia="仿宋_GB2312"/>
                <w:sz w:val="22"/>
              </w:rPr>
              <w:t>转换器；支持多档采样间隔、采集时长可选；系统动态范围</w:t>
            </w:r>
            <w:r>
              <w:rPr>
                <w:rFonts w:ascii="仿宋_GB2312" w:hAnsi="仿宋_GB2312" w:cs="仿宋_GB2312" w:eastAsia="仿宋_GB2312"/>
                <w:sz w:val="22"/>
              </w:rPr>
              <w:t>≥120dB</w:t>
            </w:r>
            <w:r>
              <w:rPr>
                <w:rFonts w:ascii="仿宋_GB2312" w:hAnsi="仿宋_GB2312" w:cs="仿宋_GB2312" w:eastAsia="仿宋_GB2312"/>
                <w:sz w:val="22"/>
              </w:rPr>
              <w:t>。</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地震采集系统</w:t>
            </w:r>
          </w:p>
        </w:tc>
        <w:tc>
          <w:tcPr>
            <w:tcW w:type="dxa" w:w="2076"/>
          </w:tcPr>
          <w:p>
            <w:pPr>
              <w:pStyle w:val="null5"/>
              <w:jc w:val="left"/>
            </w:pPr>
            <w:r>
              <w:rPr>
                <w:rFonts w:ascii="仿宋_GB2312" w:hAnsi="仿宋_GB2312" w:cs="仿宋_GB2312" w:eastAsia="仿宋_GB2312"/>
                <w:sz w:val="22"/>
              </w:rPr>
              <w:t>6.</w:t>
            </w:r>
            <w:r>
              <w:rPr>
                <w:rFonts w:ascii="仿宋_GB2312" w:hAnsi="仿宋_GB2312" w:cs="仿宋_GB2312" w:eastAsia="仿宋_GB2312"/>
                <w:sz w:val="22"/>
              </w:rPr>
              <w:t>同步方式：支持</w:t>
            </w:r>
            <w:r>
              <w:rPr>
                <w:rFonts w:ascii="仿宋_GB2312" w:hAnsi="仿宋_GB2312" w:cs="仿宋_GB2312" w:eastAsia="仿宋_GB2312"/>
                <w:sz w:val="22"/>
              </w:rPr>
              <w:t>GPS</w:t>
            </w:r>
            <w:r>
              <w:rPr>
                <w:rFonts w:ascii="仿宋_GB2312" w:hAnsi="仿宋_GB2312" w:cs="仿宋_GB2312" w:eastAsia="仿宋_GB2312"/>
                <w:sz w:val="22"/>
              </w:rPr>
              <w:t>授时同步功能；支持无线通讯功能。</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地震采集系统</w:t>
            </w:r>
          </w:p>
        </w:tc>
        <w:tc>
          <w:tcPr>
            <w:tcW w:type="dxa" w:w="2076"/>
          </w:tcPr>
          <w:p>
            <w:pPr>
              <w:pStyle w:val="null5"/>
              <w:jc w:val="left"/>
            </w:pPr>
            <w:r>
              <w:rPr>
                <w:rFonts w:ascii="仿宋_GB2312" w:hAnsi="仿宋_GB2312" w:cs="仿宋_GB2312" w:eastAsia="仿宋_GB2312"/>
                <w:sz w:val="22"/>
              </w:rPr>
              <w:t>7.</w:t>
            </w:r>
            <w:r>
              <w:rPr>
                <w:rFonts w:ascii="仿宋_GB2312" w:hAnsi="仿宋_GB2312" w:cs="仿宋_GB2312" w:eastAsia="仿宋_GB2312"/>
                <w:sz w:val="22"/>
              </w:rPr>
              <w:t>实时监测：现场主机软件支持实时显示多道时间序列波形、增益调节。</w:t>
            </w:r>
          </w:p>
        </w:tc>
      </w:tr>
      <w:tr>
        <w:tc>
          <w:tcPr>
            <w:tcW w:type="dxa" w:w="2076"/>
          </w:tcPr>
          <w:p>
            <w:pPr>
              <w:pStyle w:val="null5"/>
              <w:jc w:val="left"/>
            </w:pPr>
            <w:r>
              <w:rPr>
                <w:rFonts w:ascii="仿宋_GB2312" w:hAnsi="仿宋_GB2312" w:cs="仿宋_GB2312" w:eastAsia="仿宋_GB2312"/>
              </w:rPr>
              <w:t>9</w:t>
            </w:r>
          </w:p>
        </w:tc>
        <w:tc>
          <w:tcPr>
            <w:tcW w:type="dxa" w:w="2076"/>
          </w:tcPr>
          <w:p/>
        </w:tc>
        <w:tc>
          <w:tcPr>
            <w:tcW w:type="dxa" w:w="2076"/>
          </w:tcPr>
          <w:p>
            <w:pPr>
              <w:pStyle w:val="null5"/>
              <w:jc w:val="left"/>
            </w:pPr>
            <w:r>
              <w:rPr>
                <w:rFonts w:ascii="仿宋_GB2312" w:hAnsi="仿宋_GB2312" w:cs="仿宋_GB2312" w:eastAsia="仿宋_GB2312"/>
              </w:rPr>
              <w:t>地震采集系统</w:t>
            </w:r>
          </w:p>
        </w:tc>
        <w:tc>
          <w:tcPr>
            <w:tcW w:type="dxa" w:w="2076"/>
          </w:tcPr>
          <w:p>
            <w:pPr>
              <w:pStyle w:val="null5"/>
              <w:jc w:val="left"/>
            </w:pPr>
            <w:r>
              <w:rPr>
                <w:rFonts w:ascii="仿宋_GB2312" w:hAnsi="仿宋_GB2312" w:cs="仿宋_GB2312" w:eastAsia="仿宋_GB2312"/>
                <w:sz w:val="22"/>
              </w:rPr>
              <w:t>8.</w:t>
            </w:r>
            <w:r>
              <w:rPr>
                <w:rFonts w:ascii="仿宋_GB2312" w:hAnsi="仿宋_GB2312" w:cs="仿宋_GB2312" w:eastAsia="仿宋_GB2312"/>
                <w:sz w:val="22"/>
              </w:rPr>
              <w:t>数据存储与格式：内置存储空间</w:t>
            </w:r>
            <w:r>
              <w:rPr>
                <w:rFonts w:ascii="仿宋_GB2312" w:hAnsi="仿宋_GB2312" w:cs="仿宋_GB2312" w:eastAsia="仿宋_GB2312"/>
                <w:sz w:val="22"/>
              </w:rPr>
              <w:t>≥32GB</w:t>
            </w:r>
            <w:r>
              <w:rPr>
                <w:rFonts w:ascii="仿宋_GB2312" w:hAnsi="仿宋_GB2312" w:cs="仿宋_GB2312" w:eastAsia="仿宋_GB2312"/>
                <w:sz w:val="22"/>
              </w:rPr>
              <w:t>；支持</w:t>
            </w:r>
            <w:r>
              <w:rPr>
                <w:rFonts w:ascii="仿宋_GB2312" w:hAnsi="仿宋_GB2312" w:cs="仿宋_GB2312" w:eastAsia="仿宋_GB2312"/>
                <w:sz w:val="22"/>
              </w:rPr>
              <w:t>SEG-2</w:t>
            </w:r>
            <w:r>
              <w:rPr>
                <w:rFonts w:ascii="仿宋_GB2312" w:hAnsi="仿宋_GB2312" w:cs="仿宋_GB2312" w:eastAsia="仿宋_GB2312"/>
                <w:sz w:val="22"/>
              </w:rPr>
              <w:t>、</w:t>
            </w:r>
            <w:r>
              <w:rPr>
                <w:rFonts w:ascii="仿宋_GB2312" w:hAnsi="仿宋_GB2312" w:cs="仿宋_GB2312" w:eastAsia="仿宋_GB2312"/>
                <w:sz w:val="22"/>
              </w:rPr>
              <w:t>SEG-Y</w:t>
            </w:r>
            <w:r>
              <w:rPr>
                <w:rFonts w:ascii="仿宋_GB2312" w:hAnsi="仿宋_GB2312" w:cs="仿宋_GB2312" w:eastAsia="仿宋_GB2312"/>
                <w:sz w:val="22"/>
              </w:rPr>
              <w:t>等标准物探数据格式导出；配备</w:t>
            </w:r>
            <w:r>
              <w:rPr>
                <w:rFonts w:ascii="仿宋_GB2312" w:hAnsi="仿宋_GB2312" w:cs="仿宋_GB2312" w:eastAsia="仿宋_GB2312"/>
                <w:sz w:val="22"/>
              </w:rPr>
              <w:t>USB</w:t>
            </w:r>
            <w:r>
              <w:rPr>
                <w:rFonts w:ascii="仿宋_GB2312" w:hAnsi="仿宋_GB2312" w:cs="仿宋_GB2312" w:eastAsia="仿宋_GB2312"/>
                <w:sz w:val="22"/>
              </w:rPr>
              <w:t>、以太网等通用数据接口。</w:t>
            </w:r>
          </w:p>
        </w:tc>
      </w:tr>
      <w:tr>
        <w:tc>
          <w:tcPr>
            <w:tcW w:type="dxa" w:w="2076"/>
          </w:tcPr>
          <w:p>
            <w:pPr>
              <w:pStyle w:val="null5"/>
              <w:jc w:val="left"/>
            </w:pPr>
            <w:r>
              <w:rPr>
                <w:rFonts w:ascii="仿宋_GB2312" w:hAnsi="仿宋_GB2312" w:cs="仿宋_GB2312" w:eastAsia="仿宋_GB2312"/>
              </w:rPr>
              <w:t>10</w:t>
            </w:r>
          </w:p>
        </w:tc>
        <w:tc>
          <w:tcPr>
            <w:tcW w:type="dxa" w:w="2076"/>
          </w:tcPr>
          <w:p/>
        </w:tc>
        <w:tc>
          <w:tcPr>
            <w:tcW w:type="dxa" w:w="2076"/>
          </w:tcPr>
          <w:p>
            <w:pPr>
              <w:pStyle w:val="null5"/>
              <w:jc w:val="left"/>
            </w:pPr>
            <w:r>
              <w:rPr>
                <w:rFonts w:ascii="仿宋_GB2312" w:hAnsi="仿宋_GB2312" w:cs="仿宋_GB2312" w:eastAsia="仿宋_GB2312"/>
              </w:rPr>
              <w:t>地震采集系统</w:t>
            </w:r>
          </w:p>
        </w:tc>
        <w:tc>
          <w:tcPr>
            <w:tcW w:type="dxa" w:w="2076"/>
          </w:tcPr>
          <w:p>
            <w:pPr>
              <w:pStyle w:val="null5"/>
              <w:jc w:val="left"/>
            </w:pPr>
            <w:r>
              <w:rPr>
                <w:rFonts w:ascii="仿宋_GB2312" w:hAnsi="仿宋_GB2312" w:cs="仿宋_GB2312" w:eastAsia="仿宋_GB2312"/>
                <w:sz w:val="22"/>
              </w:rPr>
              <w:t>9.</w:t>
            </w:r>
            <w:r>
              <w:rPr>
                <w:rFonts w:ascii="仿宋_GB2312" w:hAnsi="仿宋_GB2312" w:cs="仿宋_GB2312" w:eastAsia="仿宋_GB2312"/>
                <w:sz w:val="22"/>
              </w:rPr>
              <w:t>电源续航：采用可充电锂电池组，单组电池连续工作时间</w:t>
            </w:r>
            <w:r>
              <w:rPr>
                <w:rFonts w:ascii="仿宋_GB2312" w:hAnsi="仿宋_GB2312" w:cs="仿宋_GB2312" w:eastAsia="仿宋_GB2312"/>
                <w:sz w:val="22"/>
              </w:rPr>
              <w:t>≥8</w:t>
            </w:r>
            <w:r>
              <w:rPr>
                <w:rFonts w:ascii="仿宋_GB2312" w:hAnsi="仿宋_GB2312" w:cs="仿宋_GB2312" w:eastAsia="仿宋_GB2312"/>
                <w:sz w:val="22"/>
              </w:rPr>
              <w:t>小时；支持外接</w:t>
            </w:r>
            <w:r>
              <w:rPr>
                <w:rFonts w:ascii="仿宋_GB2312" w:hAnsi="仿宋_GB2312" w:cs="仿宋_GB2312" w:eastAsia="仿宋_GB2312"/>
                <w:sz w:val="22"/>
              </w:rPr>
              <w:t>12V</w:t>
            </w:r>
            <w:r>
              <w:rPr>
                <w:rFonts w:ascii="仿宋_GB2312" w:hAnsi="仿宋_GB2312" w:cs="仿宋_GB2312" w:eastAsia="仿宋_GB2312"/>
                <w:sz w:val="22"/>
              </w:rPr>
              <w:t>直流电源供电；</w:t>
            </w:r>
            <w:r>
              <w:rPr>
                <w:rFonts w:ascii="仿宋_GB2312" w:hAnsi="仿宋_GB2312" w:cs="仿宋_GB2312" w:eastAsia="仿宋_GB2312"/>
                <w:sz w:val="22"/>
              </w:rPr>
              <w:t>电源站</w:t>
            </w:r>
            <w:r>
              <w:rPr>
                <w:rFonts w:ascii="仿宋_GB2312" w:hAnsi="仿宋_GB2312" w:cs="仿宋_GB2312" w:eastAsia="仿宋_GB2312"/>
                <w:sz w:val="22"/>
              </w:rPr>
              <w:t>具有反接保护和指示功能。</w:t>
            </w:r>
          </w:p>
        </w:tc>
      </w:tr>
      <w:tr>
        <w:tc>
          <w:tcPr>
            <w:tcW w:type="dxa" w:w="2076"/>
          </w:tcPr>
          <w:p>
            <w:pPr>
              <w:pStyle w:val="null5"/>
              <w:jc w:val="left"/>
            </w:pPr>
            <w:r>
              <w:rPr>
                <w:rFonts w:ascii="仿宋_GB2312" w:hAnsi="仿宋_GB2312" w:cs="仿宋_GB2312" w:eastAsia="仿宋_GB2312"/>
              </w:rPr>
              <w:t>11</w:t>
            </w:r>
          </w:p>
        </w:tc>
        <w:tc>
          <w:tcPr>
            <w:tcW w:type="dxa" w:w="2076"/>
          </w:tcPr>
          <w:p/>
        </w:tc>
        <w:tc>
          <w:tcPr>
            <w:tcW w:type="dxa" w:w="2076"/>
          </w:tcPr>
          <w:p>
            <w:pPr>
              <w:pStyle w:val="null5"/>
              <w:jc w:val="left"/>
            </w:pPr>
            <w:r>
              <w:rPr>
                <w:rFonts w:ascii="仿宋_GB2312" w:hAnsi="仿宋_GB2312" w:cs="仿宋_GB2312" w:eastAsia="仿宋_GB2312"/>
              </w:rPr>
              <w:t>地震采集系统</w:t>
            </w:r>
          </w:p>
        </w:tc>
        <w:tc>
          <w:tcPr>
            <w:tcW w:type="dxa" w:w="2076"/>
          </w:tcPr>
          <w:p>
            <w:pPr>
              <w:pStyle w:val="null5"/>
              <w:jc w:val="left"/>
            </w:pPr>
            <w:r>
              <w:rPr>
                <w:rFonts w:ascii="仿宋_GB2312" w:hAnsi="仿宋_GB2312" w:cs="仿宋_GB2312" w:eastAsia="仿宋_GB2312"/>
                <w:sz w:val="22"/>
              </w:rPr>
              <w:t>1</w:t>
            </w:r>
            <w:r>
              <w:rPr>
                <w:rFonts w:ascii="仿宋_GB2312" w:hAnsi="仿宋_GB2312" w:cs="仿宋_GB2312" w:eastAsia="仿宋_GB2312"/>
                <w:sz w:val="22"/>
              </w:rPr>
              <w:t>0.</w:t>
            </w:r>
            <w:r>
              <w:rPr>
                <w:rFonts w:ascii="仿宋_GB2312" w:hAnsi="仿宋_GB2312" w:cs="仿宋_GB2312" w:eastAsia="仿宋_GB2312"/>
                <w:sz w:val="22"/>
              </w:rPr>
              <w:t>环境适应性：工作温度范围</w:t>
            </w:r>
            <w:r>
              <w:rPr>
                <w:rFonts w:ascii="仿宋_GB2312" w:hAnsi="仿宋_GB2312" w:cs="仿宋_GB2312" w:eastAsia="仿宋_GB2312"/>
                <w:sz w:val="22"/>
              </w:rPr>
              <w:t>-10℃~+50℃</w:t>
            </w:r>
            <w:r>
              <w:rPr>
                <w:rFonts w:ascii="仿宋_GB2312" w:hAnsi="仿宋_GB2312" w:cs="仿宋_GB2312" w:eastAsia="仿宋_GB2312"/>
                <w:sz w:val="22"/>
              </w:rPr>
              <w:t>；存储温度范围</w:t>
            </w:r>
            <w:r>
              <w:rPr>
                <w:rFonts w:ascii="仿宋_GB2312" w:hAnsi="仿宋_GB2312" w:cs="仿宋_GB2312" w:eastAsia="仿宋_GB2312"/>
                <w:sz w:val="22"/>
              </w:rPr>
              <w:t>-20℃~+60℃</w:t>
            </w:r>
            <w:r>
              <w:rPr>
                <w:rFonts w:ascii="仿宋_GB2312" w:hAnsi="仿宋_GB2312" w:cs="仿宋_GB2312" w:eastAsia="仿宋_GB2312"/>
                <w:sz w:val="22"/>
              </w:rPr>
              <w:t>；相对湿度</w:t>
            </w:r>
            <w:r>
              <w:rPr>
                <w:rFonts w:ascii="仿宋_GB2312" w:hAnsi="仿宋_GB2312" w:cs="仿宋_GB2312" w:eastAsia="仿宋_GB2312"/>
                <w:sz w:val="22"/>
              </w:rPr>
              <w:t>5%~95%</w:t>
            </w:r>
            <w:r>
              <w:rPr>
                <w:rFonts w:ascii="仿宋_GB2312" w:hAnsi="仿宋_GB2312" w:cs="仿宋_GB2312" w:eastAsia="仿宋_GB2312"/>
                <w:sz w:val="22"/>
              </w:rPr>
              <w:t>（无冷凝）；采集站防护等级不低于</w:t>
            </w:r>
            <w:r>
              <w:rPr>
                <w:rFonts w:ascii="仿宋_GB2312" w:hAnsi="仿宋_GB2312" w:cs="仿宋_GB2312" w:eastAsia="仿宋_GB2312"/>
                <w:sz w:val="22"/>
              </w:rPr>
              <w:t>IP65</w:t>
            </w:r>
            <w:r>
              <w:rPr>
                <w:rFonts w:ascii="仿宋_GB2312" w:hAnsi="仿宋_GB2312" w:cs="仿宋_GB2312" w:eastAsia="仿宋_GB2312"/>
                <w:sz w:val="22"/>
              </w:rPr>
              <w:t>，主机防护等级不低于</w:t>
            </w:r>
            <w:r>
              <w:rPr>
                <w:rFonts w:ascii="仿宋_GB2312" w:hAnsi="仿宋_GB2312" w:cs="仿宋_GB2312" w:eastAsia="仿宋_GB2312"/>
                <w:sz w:val="22"/>
              </w:rPr>
              <w:t>IP54</w:t>
            </w:r>
            <w:r>
              <w:rPr>
                <w:rFonts w:ascii="仿宋_GB2312" w:hAnsi="仿宋_GB2312" w:cs="仿宋_GB2312" w:eastAsia="仿宋_GB2312"/>
                <w:sz w:val="22"/>
              </w:rPr>
              <w:t>。</w:t>
            </w:r>
          </w:p>
        </w:tc>
      </w:tr>
      <w:tr>
        <w:tc>
          <w:tcPr>
            <w:tcW w:type="dxa" w:w="2076"/>
          </w:tcPr>
          <w:p>
            <w:pPr>
              <w:pStyle w:val="null5"/>
              <w:jc w:val="left"/>
            </w:pPr>
            <w:r>
              <w:rPr>
                <w:rFonts w:ascii="仿宋_GB2312" w:hAnsi="仿宋_GB2312" w:cs="仿宋_GB2312" w:eastAsia="仿宋_GB2312"/>
              </w:rPr>
              <w:t>12</w:t>
            </w:r>
          </w:p>
        </w:tc>
        <w:tc>
          <w:tcPr>
            <w:tcW w:type="dxa" w:w="2076"/>
          </w:tcPr>
          <w:p/>
        </w:tc>
        <w:tc>
          <w:tcPr>
            <w:tcW w:type="dxa" w:w="2076"/>
          </w:tcPr>
          <w:p>
            <w:pPr>
              <w:pStyle w:val="null5"/>
              <w:jc w:val="left"/>
            </w:pPr>
            <w:r>
              <w:rPr>
                <w:rFonts w:ascii="仿宋_GB2312" w:hAnsi="仿宋_GB2312" w:cs="仿宋_GB2312" w:eastAsia="仿宋_GB2312"/>
              </w:rPr>
              <w:t>地震采集系统</w:t>
            </w:r>
          </w:p>
        </w:tc>
        <w:tc>
          <w:tcPr>
            <w:tcW w:type="dxa" w:w="2076"/>
          </w:tcPr>
          <w:p>
            <w:pPr>
              <w:pStyle w:val="null5"/>
              <w:jc w:val="left"/>
            </w:pPr>
            <w:r>
              <w:rPr>
                <w:rFonts w:ascii="仿宋_GB2312" w:hAnsi="仿宋_GB2312" w:cs="仿宋_GB2312" w:eastAsia="仿宋_GB2312"/>
                <w:sz w:val="22"/>
              </w:rPr>
              <w:t>11.</w:t>
            </w:r>
            <w:r>
              <w:rPr>
                <w:rFonts w:ascii="仿宋_GB2312" w:hAnsi="仿宋_GB2312" w:cs="仿宋_GB2312" w:eastAsia="仿宋_GB2312"/>
                <w:sz w:val="22"/>
              </w:rPr>
              <w:t>物理特性：单道采集站重量</w:t>
            </w:r>
            <w:r>
              <w:rPr>
                <w:rFonts w:ascii="仿宋_GB2312" w:hAnsi="仿宋_GB2312" w:cs="仿宋_GB2312" w:eastAsia="仿宋_GB2312"/>
                <w:sz w:val="22"/>
              </w:rPr>
              <w:t>≤3</w:t>
            </w:r>
            <w:r>
              <w:rPr>
                <w:rFonts w:ascii="仿宋_GB2312" w:hAnsi="仿宋_GB2312" w:cs="仿宋_GB2312" w:eastAsia="仿宋_GB2312"/>
                <w:sz w:val="22"/>
              </w:rPr>
              <w:t>7</w:t>
            </w:r>
            <w:r>
              <w:rPr>
                <w:rFonts w:ascii="仿宋_GB2312" w:hAnsi="仿宋_GB2312" w:cs="仿宋_GB2312" w:eastAsia="仿宋_GB2312"/>
                <w:sz w:val="22"/>
              </w:rPr>
              <w:t>0g</w:t>
            </w:r>
            <w:r>
              <w:rPr>
                <w:rFonts w:ascii="仿宋_GB2312" w:hAnsi="仿宋_GB2312" w:cs="仿宋_GB2312" w:eastAsia="仿宋_GB2312"/>
                <w:sz w:val="22"/>
              </w:rPr>
              <w:t>（不含电缆）</w:t>
            </w:r>
            <w:r>
              <w:rPr>
                <w:rFonts w:ascii="仿宋_GB2312" w:hAnsi="仿宋_GB2312" w:cs="仿宋_GB2312" w:eastAsia="仿宋_GB2312"/>
                <w:sz w:val="22"/>
              </w:rPr>
              <w:t>；主</w:t>
            </w:r>
            <w:r>
              <w:rPr>
                <w:rFonts w:ascii="仿宋_GB2312" w:hAnsi="仿宋_GB2312" w:cs="仿宋_GB2312" w:eastAsia="仿宋_GB2312"/>
                <w:sz w:val="22"/>
              </w:rPr>
              <w:t>控</w:t>
            </w:r>
            <w:r>
              <w:rPr>
                <w:rFonts w:ascii="仿宋_GB2312" w:hAnsi="仿宋_GB2312" w:cs="仿宋_GB2312" w:eastAsia="仿宋_GB2312"/>
                <w:sz w:val="22"/>
              </w:rPr>
              <w:t>机含电池总重量</w:t>
            </w:r>
            <w:r>
              <w:rPr>
                <w:rFonts w:ascii="仿宋_GB2312" w:hAnsi="仿宋_GB2312" w:cs="仿宋_GB2312" w:eastAsia="仿宋_GB2312"/>
                <w:sz w:val="22"/>
              </w:rPr>
              <w:t>≤</w:t>
            </w:r>
            <w:r>
              <w:rPr>
                <w:rFonts w:ascii="仿宋_GB2312" w:hAnsi="仿宋_GB2312" w:cs="仿宋_GB2312" w:eastAsia="仿宋_GB2312"/>
                <w:sz w:val="22"/>
              </w:rPr>
              <w:t>14</w:t>
            </w:r>
            <w:r>
              <w:rPr>
                <w:rFonts w:ascii="仿宋_GB2312" w:hAnsi="仿宋_GB2312" w:cs="仿宋_GB2312" w:eastAsia="仿宋_GB2312"/>
                <w:sz w:val="22"/>
              </w:rPr>
              <w:t>kg</w:t>
            </w:r>
            <w:r>
              <w:rPr>
                <w:rFonts w:ascii="仿宋_GB2312" w:hAnsi="仿宋_GB2312" w:cs="仿宋_GB2312" w:eastAsia="仿宋_GB2312"/>
                <w:sz w:val="22"/>
              </w:rPr>
              <w:t>；采用铝合金外壳，具备抗震抗摔设计。</w:t>
            </w:r>
          </w:p>
        </w:tc>
      </w:tr>
      <w:tr>
        <w:tc>
          <w:tcPr>
            <w:tcW w:type="dxa" w:w="2076"/>
          </w:tcPr>
          <w:p>
            <w:pPr>
              <w:pStyle w:val="null5"/>
              <w:jc w:val="left"/>
            </w:pPr>
            <w:r>
              <w:rPr>
                <w:rFonts w:ascii="仿宋_GB2312" w:hAnsi="仿宋_GB2312" w:cs="仿宋_GB2312" w:eastAsia="仿宋_GB2312"/>
              </w:rPr>
              <w:t>13</w:t>
            </w:r>
          </w:p>
        </w:tc>
        <w:tc>
          <w:tcPr>
            <w:tcW w:type="dxa" w:w="2076"/>
          </w:tcPr>
          <w:p/>
        </w:tc>
        <w:tc>
          <w:tcPr>
            <w:tcW w:type="dxa" w:w="2076"/>
          </w:tcPr>
          <w:p>
            <w:pPr>
              <w:pStyle w:val="null5"/>
              <w:jc w:val="left"/>
            </w:pPr>
            <w:r>
              <w:rPr>
                <w:rFonts w:ascii="仿宋_GB2312" w:hAnsi="仿宋_GB2312" w:cs="仿宋_GB2312" w:eastAsia="仿宋_GB2312"/>
              </w:rPr>
              <w:t>地震采集系统</w:t>
            </w:r>
          </w:p>
        </w:tc>
        <w:tc>
          <w:tcPr>
            <w:tcW w:type="dxa" w:w="2076"/>
          </w:tcPr>
          <w:p>
            <w:pPr>
              <w:pStyle w:val="null5"/>
              <w:jc w:val="left"/>
            </w:pPr>
            <w:r>
              <w:rPr>
                <w:rFonts w:ascii="仿宋_GB2312" w:hAnsi="仿宋_GB2312" w:cs="仿宋_GB2312" w:eastAsia="仿宋_GB2312"/>
                <w:sz w:val="22"/>
              </w:rPr>
              <w:t>12.</w:t>
            </w:r>
            <w:r>
              <w:rPr>
                <w:rFonts w:ascii="仿宋_GB2312" w:hAnsi="仿宋_GB2312" w:cs="仿宋_GB2312" w:eastAsia="仿宋_GB2312"/>
                <w:sz w:val="22"/>
              </w:rPr>
              <w:t>处理软件：配备数据预处理与剖面成图软件，支持滤波、增益恢复、静校正、速度分析等基础处理功能；可生成教学用成果剖面。</w:t>
            </w:r>
          </w:p>
        </w:tc>
      </w:tr>
      <w:tr>
        <w:tc>
          <w:tcPr>
            <w:tcW w:type="dxa" w:w="2076"/>
          </w:tcPr>
          <w:p>
            <w:pPr>
              <w:pStyle w:val="null5"/>
              <w:jc w:val="left"/>
            </w:pPr>
            <w:r>
              <w:rPr>
                <w:rFonts w:ascii="仿宋_GB2312" w:hAnsi="仿宋_GB2312" w:cs="仿宋_GB2312" w:eastAsia="仿宋_GB2312"/>
              </w:rPr>
              <w:t>14</w:t>
            </w:r>
          </w:p>
        </w:tc>
        <w:tc>
          <w:tcPr>
            <w:tcW w:type="dxa" w:w="2076"/>
          </w:tcPr>
          <w:p/>
        </w:tc>
        <w:tc>
          <w:tcPr>
            <w:tcW w:type="dxa" w:w="2076"/>
          </w:tcPr>
          <w:p>
            <w:pPr>
              <w:pStyle w:val="null5"/>
              <w:jc w:val="left"/>
            </w:pPr>
            <w:r>
              <w:rPr>
                <w:rFonts w:ascii="仿宋_GB2312" w:hAnsi="仿宋_GB2312" w:cs="仿宋_GB2312" w:eastAsia="仿宋_GB2312"/>
              </w:rPr>
              <w:t>地震采集系统</w:t>
            </w:r>
          </w:p>
        </w:tc>
        <w:tc>
          <w:tcPr>
            <w:tcW w:type="dxa" w:w="2076"/>
          </w:tcPr>
          <w:p>
            <w:pPr>
              <w:pStyle w:val="null5"/>
              <w:jc w:val="left"/>
            </w:pPr>
            <w:r>
              <w:rPr>
                <w:rFonts w:ascii="仿宋_GB2312" w:hAnsi="仿宋_GB2312" w:cs="仿宋_GB2312" w:eastAsia="仿宋_GB2312"/>
                <w:sz w:val="22"/>
              </w:rPr>
              <w:t>13.</w:t>
            </w:r>
            <w:r>
              <w:rPr>
                <w:rFonts w:ascii="仿宋_GB2312" w:hAnsi="仿宋_GB2312" w:cs="仿宋_GB2312" w:eastAsia="仿宋_GB2312"/>
                <w:sz w:val="22"/>
              </w:rPr>
              <w:t>适用教学方法：可开展反射波法、折射波法、地震映像法、面波法（</w:t>
            </w:r>
            <w:r>
              <w:rPr>
                <w:rFonts w:ascii="仿宋_GB2312" w:hAnsi="仿宋_GB2312" w:cs="仿宋_GB2312" w:eastAsia="仿宋_GB2312"/>
                <w:sz w:val="22"/>
              </w:rPr>
              <w:t>MASW</w:t>
            </w:r>
            <w:r>
              <w:rPr>
                <w:rFonts w:ascii="仿宋_GB2312" w:hAnsi="仿宋_GB2312" w:cs="仿宋_GB2312" w:eastAsia="仿宋_GB2312"/>
                <w:sz w:val="22"/>
              </w:rPr>
              <w:t>）等多种地震勘探教学实验。</w:t>
            </w:r>
          </w:p>
        </w:tc>
      </w:tr>
      <w:tr>
        <w:tc>
          <w:tcPr>
            <w:tcW w:type="dxa" w:w="2076"/>
          </w:tcPr>
          <w:p>
            <w:pPr>
              <w:pStyle w:val="null5"/>
              <w:jc w:val="left"/>
            </w:pPr>
            <w:r>
              <w:rPr>
                <w:rFonts w:ascii="仿宋_GB2312" w:hAnsi="仿宋_GB2312" w:cs="仿宋_GB2312" w:eastAsia="仿宋_GB2312"/>
              </w:rPr>
              <w:t>15</w:t>
            </w:r>
          </w:p>
        </w:tc>
        <w:tc>
          <w:tcPr>
            <w:tcW w:type="dxa" w:w="2076"/>
          </w:tcPr>
          <w:p/>
        </w:tc>
        <w:tc>
          <w:tcPr>
            <w:tcW w:type="dxa" w:w="2076"/>
          </w:tcPr>
          <w:p>
            <w:pPr>
              <w:pStyle w:val="null5"/>
              <w:jc w:val="left"/>
            </w:pPr>
            <w:r>
              <w:rPr>
                <w:rFonts w:ascii="仿宋_GB2312" w:hAnsi="仿宋_GB2312" w:cs="仿宋_GB2312" w:eastAsia="仿宋_GB2312"/>
              </w:rPr>
              <w:t>地震采集系统</w:t>
            </w:r>
          </w:p>
        </w:tc>
        <w:tc>
          <w:tcPr>
            <w:tcW w:type="dxa" w:w="2076"/>
          </w:tcPr>
          <w:p>
            <w:pPr>
              <w:pStyle w:val="null5"/>
              <w:jc w:val="left"/>
            </w:pPr>
            <w:r>
              <w:rPr>
                <w:rFonts w:ascii="仿宋_GB2312" w:hAnsi="仿宋_GB2312" w:cs="仿宋_GB2312" w:eastAsia="仿宋_GB2312"/>
                <w:sz w:val="22"/>
              </w:rPr>
              <w:t>14.</w:t>
            </w:r>
            <w:r>
              <w:rPr>
                <w:rFonts w:ascii="仿宋_GB2312" w:hAnsi="仿宋_GB2312" w:cs="仿宋_GB2312" w:eastAsia="仿宋_GB2312"/>
                <w:sz w:val="22"/>
              </w:rPr>
              <w:t>辅助配件：配备全套充电线缆、同步器、轻型锤击震源、野外运输防护箱等完整配套配件。</w:t>
            </w:r>
          </w:p>
        </w:tc>
      </w:tr>
      <w:tr>
        <w:tc>
          <w:tcPr>
            <w:tcW w:type="dxa" w:w="2076"/>
          </w:tcPr>
          <w:p>
            <w:pPr>
              <w:pStyle w:val="null5"/>
              <w:jc w:val="left"/>
            </w:pPr>
            <w:r>
              <w:rPr>
                <w:rFonts w:ascii="仿宋_GB2312" w:hAnsi="仿宋_GB2312" w:cs="仿宋_GB2312" w:eastAsia="仿宋_GB2312"/>
              </w:rPr>
              <w:t>16</w:t>
            </w:r>
          </w:p>
        </w:tc>
        <w:tc>
          <w:tcPr>
            <w:tcW w:type="dxa" w:w="2076"/>
          </w:tcPr>
          <w:p/>
        </w:tc>
        <w:tc>
          <w:tcPr>
            <w:tcW w:type="dxa" w:w="2076"/>
          </w:tcPr>
          <w:p>
            <w:pPr>
              <w:pStyle w:val="null5"/>
              <w:jc w:val="left"/>
            </w:pPr>
            <w:r>
              <w:rPr>
                <w:rFonts w:ascii="仿宋_GB2312" w:hAnsi="仿宋_GB2312" w:cs="仿宋_GB2312" w:eastAsia="仿宋_GB2312"/>
              </w:rPr>
              <w:t>高密度电法仪</w:t>
            </w:r>
          </w:p>
        </w:tc>
        <w:tc>
          <w:tcPr>
            <w:tcW w:type="dxa" w:w="2076"/>
          </w:tcPr>
          <w:p>
            <w:pPr>
              <w:pStyle w:val="null5"/>
              <w:jc w:val="left"/>
            </w:pPr>
            <w:r>
              <w:rPr>
                <w:rFonts w:ascii="仿宋_GB2312" w:hAnsi="仿宋_GB2312" w:cs="仿宋_GB2312" w:eastAsia="仿宋_GB2312"/>
                <w:sz w:val="22"/>
              </w:rPr>
              <w:t>数量：</w:t>
            </w:r>
            <w:r>
              <w:rPr>
                <w:rFonts w:ascii="仿宋_GB2312" w:hAnsi="仿宋_GB2312" w:cs="仿宋_GB2312" w:eastAsia="仿宋_GB2312"/>
                <w:sz w:val="22"/>
              </w:rPr>
              <w:t>1</w:t>
            </w:r>
            <w:r>
              <w:rPr>
                <w:rFonts w:ascii="仿宋_GB2312" w:hAnsi="仿宋_GB2312" w:cs="仿宋_GB2312" w:eastAsia="仿宋_GB2312"/>
                <w:sz w:val="22"/>
              </w:rPr>
              <w:t>套；</w:t>
            </w:r>
          </w:p>
        </w:tc>
      </w:tr>
      <w:tr>
        <w:tc>
          <w:tcPr>
            <w:tcW w:type="dxa" w:w="2076"/>
          </w:tcPr>
          <w:p>
            <w:pPr>
              <w:pStyle w:val="null5"/>
              <w:jc w:val="left"/>
            </w:pPr>
            <w:r>
              <w:rPr>
                <w:rFonts w:ascii="仿宋_GB2312" w:hAnsi="仿宋_GB2312" w:cs="仿宋_GB2312" w:eastAsia="仿宋_GB2312"/>
              </w:rPr>
              <w:t>17</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高密度电法仪</w:t>
            </w:r>
          </w:p>
        </w:tc>
        <w:tc>
          <w:tcPr>
            <w:tcW w:type="dxa" w:w="2076"/>
          </w:tcPr>
          <w:p>
            <w:pPr>
              <w:pStyle w:val="null5"/>
              <w:jc w:val="left"/>
            </w:pPr>
            <w:r>
              <w:rPr>
                <w:rFonts w:ascii="仿宋_GB2312" w:hAnsi="仿宋_GB2312" w:cs="仿宋_GB2312" w:eastAsia="仿宋_GB2312"/>
                <w:sz w:val="22"/>
              </w:rPr>
              <w:t>1.</w:t>
            </w:r>
            <w:r>
              <w:rPr>
                <w:rFonts w:ascii="仿宋_GB2312" w:hAnsi="仿宋_GB2312" w:cs="仿宋_GB2312" w:eastAsia="仿宋_GB2312"/>
                <w:sz w:val="22"/>
              </w:rPr>
              <w:t>装置形式：支持温纳（</w:t>
            </w:r>
            <w:r>
              <w:rPr>
                <w:rFonts w:ascii="仿宋_GB2312" w:hAnsi="仿宋_GB2312" w:cs="仿宋_GB2312" w:eastAsia="仿宋_GB2312"/>
                <w:sz w:val="22"/>
              </w:rPr>
              <w:t>Wennerα/β/γ</w:t>
            </w:r>
            <w:r>
              <w:rPr>
                <w:rFonts w:ascii="仿宋_GB2312" w:hAnsi="仿宋_GB2312" w:cs="仿宋_GB2312" w:eastAsia="仿宋_GB2312"/>
                <w:sz w:val="22"/>
              </w:rPr>
              <w:t>）、偶极</w:t>
            </w:r>
            <w:r>
              <w:rPr>
                <w:rFonts w:ascii="仿宋_GB2312" w:hAnsi="仿宋_GB2312" w:cs="仿宋_GB2312" w:eastAsia="仿宋_GB2312"/>
                <w:sz w:val="22"/>
              </w:rPr>
              <w:t>-</w:t>
            </w:r>
            <w:r>
              <w:rPr>
                <w:rFonts w:ascii="仿宋_GB2312" w:hAnsi="仿宋_GB2312" w:cs="仿宋_GB2312" w:eastAsia="仿宋_GB2312"/>
                <w:sz w:val="22"/>
              </w:rPr>
              <w:t>偶极（</w:t>
            </w:r>
            <w:r>
              <w:rPr>
                <w:rFonts w:ascii="仿宋_GB2312" w:hAnsi="仿宋_GB2312" w:cs="仿宋_GB2312" w:eastAsia="仿宋_GB2312"/>
                <w:sz w:val="22"/>
              </w:rPr>
              <w:t>Dipole-Dipole</w:t>
            </w:r>
            <w:r>
              <w:rPr>
                <w:rFonts w:ascii="仿宋_GB2312" w:hAnsi="仿宋_GB2312" w:cs="仿宋_GB2312" w:eastAsia="仿宋_GB2312"/>
                <w:sz w:val="22"/>
              </w:rPr>
              <w:t>）、单极</w:t>
            </w:r>
            <w:r>
              <w:rPr>
                <w:rFonts w:ascii="仿宋_GB2312" w:hAnsi="仿宋_GB2312" w:cs="仿宋_GB2312" w:eastAsia="仿宋_GB2312"/>
                <w:sz w:val="22"/>
              </w:rPr>
              <w:t>-</w:t>
            </w:r>
            <w:r>
              <w:rPr>
                <w:rFonts w:ascii="仿宋_GB2312" w:hAnsi="仿宋_GB2312" w:cs="仿宋_GB2312" w:eastAsia="仿宋_GB2312"/>
                <w:sz w:val="22"/>
              </w:rPr>
              <w:t>偶极（</w:t>
            </w:r>
            <w:r>
              <w:rPr>
                <w:rFonts w:ascii="仿宋_GB2312" w:hAnsi="仿宋_GB2312" w:cs="仿宋_GB2312" w:eastAsia="仿宋_GB2312"/>
                <w:sz w:val="22"/>
              </w:rPr>
              <w:t>Pole-Dipole</w:t>
            </w:r>
            <w:r>
              <w:rPr>
                <w:rFonts w:ascii="仿宋_GB2312" w:hAnsi="仿宋_GB2312" w:cs="仿宋_GB2312" w:eastAsia="仿宋_GB2312"/>
                <w:sz w:val="22"/>
              </w:rPr>
              <w:t>）、单极</w:t>
            </w:r>
            <w:r>
              <w:rPr>
                <w:rFonts w:ascii="仿宋_GB2312" w:hAnsi="仿宋_GB2312" w:cs="仿宋_GB2312" w:eastAsia="仿宋_GB2312"/>
                <w:sz w:val="22"/>
              </w:rPr>
              <w:t>-</w:t>
            </w:r>
            <w:r>
              <w:rPr>
                <w:rFonts w:ascii="仿宋_GB2312" w:hAnsi="仿宋_GB2312" w:cs="仿宋_GB2312" w:eastAsia="仿宋_GB2312"/>
                <w:sz w:val="22"/>
              </w:rPr>
              <w:t>单极（</w:t>
            </w:r>
            <w:r>
              <w:rPr>
                <w:rFonts w:ascii="仿宋_GB2312" w:hAnsi="仿宋_GB2312" w:cs="仿宋_GB2312" w:eastAsia="仿宋_GB2312"/>
                <w:sz w:val="22"/>
              </w:rPr>
              <w:t>Pole-Pole</w:t>
            </w:r>
            <w:r>
              <w:rPr>
                <w:rFonts w:ascii="仿宋_GB2312" w:hAnsi="仿宋_GB2312" w:cs="仿宋_GB2312" w:eastAsia="仿宋_GB2312"/>
                <w:sz w:val="22"/>
              </w:rPr>
              <w:t>）、施伦贝尔、差分温纳装置等常规高密度电法装置；具备微电极采集功能，可适配实验室沙盘模型教学演示。</w:t>
            </w:r>
          </w:p>
        </w:tc>
      </w:tr>
      <w:tr>
        <w:tc>
          <w:tcPr>
            <w:tcW w:type="dxa" w:w="2076"/>
          </w:tcPr>
          <w:p>
            <w:pPr>
              <w:pStyle w:val="null5"/>
              <w:jc w:val="left"/>
            </w:pPr>
            <w:r>
              <w:rPr>
                <w:rFonts w:ascii="仿宋_GB2312" w:hAnsi="仿宋_GB2312" w:cs="仿宋_GB2312" w:eastAsia="仿宋_GB2312"/>
              </w:rPr>
              <w:t>18</w:t>
            </w:r>
          </w:p>
        </w:tc>
        <w:tc>
          <w:tcPr>
            <w:tcW w:type="dxa" w:w="2076"/>
          </w:tcPr>
          <w:p/>
        </w:tc>
        <w:tc>
          <w:tcPr>
            <w:tcW w:type="dxa" w:w="2076"/>
          </w:tcPr>
          <w:p>
            <w:pPr>
              <w:pStyle w:val="null5"/>
              <w:jc w:val="left"/>
            </w:pPr>
            <w:r>
              <w:rPr>
                <w:rFonts w:ascii="仿宋_GB2312" w:hAnsi="仿宋_GB2312" w:cs="仿宋_GB2312" w:eastAsia="仿宋_GB2312"/>
              </w:rPr>
              <w:t>高密度电法仪</w:t>
            </w:r>
          </w:p>
        </w:tc>
        <w:tc>
          <w:tcPr>
            <w:tcW w:type="dxa" w:w="2076"/>
          </w:tcPr>
          <w:p>
            <w:pPr>
              <w:pStyle w:val="null5"/>
              <w:jc w:val="left"/>
            </w:pPr>
            <w:r>
              <w:rPr>
                <w:rFonts w:ascii="仿宋_GB2312" w:hAnsi="仿宋_GB2312" w:cs="仿宋_GB2312" w:eastAsia="仿宋_GB2312"/>
                <w:sz w:val="22"/>
              </w:rPr>
              <w:t>2.</w:t>
            </w:r>
            <w:r>
              <w:rPr>
                <w:rFonts w:ascii="仿宋_GB2312" w:hAnsi="仿宋_GB2312" w:cs="仿宋_GB2312" w:eastAsia="仿宋_GB2312"/>
                <w:sz w:val="22"/>
              </w:rPr>
              <w:t>系统配置：电法仪采集主机</w:t>
            </w:r>
            <w:r>
              <w:rPr>
                <w:rFonts w:ascii="仿宋_GB2312" w:hAnsi="仿宋_GB2312" w:cs="仿宋_GB2312" w:eastAsia="仿宋_GB2312"/>
                <w:sz w:val="22"/>
              </w:rPr>
              <w:t>1</w:t>
            </w:r>
            <w:r>
              <w:rPr>
                <w:rFonts w:ascii="仿宋_GB2312" w:hAnsi="仿宋_GB2312" w:cs="仿宋_GB2312" w:eastAsia="仿宋_GB2312"/>
                <w:sz w:val="22"/>
              </w:rPr>
              <w:t>台，</w:t>
            </w:r>
            <w:r>
              <w:rPr>
                <w:rFonts w:ascii="仿宋_GB2312" w:hAnsi="仿宋_GB2312" w:cs="仿宋_GB2312" w:eastAsia="仿宋_GB2312"/>
                <w:sz w:val="22"/>
              </w:rPr>
              <w:t>5m</w:t>
            </w:r>
            <w:r>
              <w:rPr>
                <w:rFonts w:ascii="仿宋_GB2312" w:hAnsi="仿宋_GB2312" w:cs="仿宋_GB2312" w:eastAsia="仿宋_GB2312"/>
                <w:sz w:val="22"/>
              </w:rPr>
              <w:t>间距标准电极线缆不少于</w:t>
            </w:r>
            <w:r>
              <w:rPr>
                <w:rFonts w:ascii="仿宋_GB2312" w:hAnsi="仿宋_GB2312" w:cs="仿宋_GB2312" w:eastAsia="仿宋_GB2312"/>
                <w:sz w:val="22"/>
              </w:rPr>
              <w:t>8</w:t>
            </w:r>
            <w:r>
              <w:rPr>
                <w:rFonts w:ascii="仿宋_GB2312" w:hAnsi="仿宋_GB2312" w:cs="仿宋_GB2312" w:eastAsia="仿宋_GB2312"/>
                <w:sz w:val="22"/>
              </w:rPr>
              <w:t>根，供电电源</w:t>
            </w:r>
            <w:r>
              <w:rPr>
                <w:rFonts w:ascii="仿宋_GB2312" w:hAnsi="仿宋_GB2312" w:cs="仿宋_GB2312" w:eastAsia="仿宋_GB2312"/>
                <w:sz w:val="22"/>
              </w:rPr>
              <w:t>1</w:t>
            </w:r>
            <w:r>
              <w:rPr>
                <w:rFonts w:ascii="仿宋_GB2312" w:hAnsi="仿宋_GB2312" w:cs="仿宋_GB2312" w:eastAsia="仿宋_GB2312"/>
                <w:sz w:val="22"/>
              </w:rPr>
              <w:t>台，电缆电极不少于</w:t>
            </w:r>
            <w:r>
              <w:rPr>
                <w:rFonts w:ascii="仿宋_GB2312" w:hAnsi="仿宋_GB2312" w:cs="仿宋_GB2312" w:eastAsia="仿宋_GB2312"/>
                <w:sz w:val="22"/>
              </w:rPr>
              <w:t>64</w:t>
            </w:r>
            <w:r>
              <w:rPr>
                <w:rFonts w:ascii="仿宋_GB2312" w:hAnsi="仿宋_GB2312" w:cs="仿宋_GB2312" w:eastAsia="仿宋_GB2312"/>
                <w:sz w:val="22"/>
              </w:rPr>
              <w:t>道，微电极实验盒不少于</w:t>
            </w:r>
            <w:r>
              <w:rPr>
                <w:rFonts w:ascii="仿宋_GB2312" w:hAnsi="仿宋_GB2312" w:cs="仿宋_GB2312" w:eastAsia="仿宋_GB2312"/>
                <w:sz w:val="22"/>
              </w:rPr>
              <w:t>4</w:t>
            </w:r>
            <w:r>
              <w:rPr>
                <w:rFonts w:ascii="仿宋_GB2312" w:hAnsi="仿宋_GB2312" w:cs="仿宋_GB2312" w:eastAsia="仿宋_GB2312"/>
                <w:sz w:val="22"/>
              </w:rPr>
              <w:t>套，采集控制软件</w:t>
            </w:r>
            <w:r>
              <w:rPr>
                <w:rFonts w:ascii="仿宋_GB2312" w:hAnsi="仿宋_GB2312" w:cs="仿宋_GB2312" w:eastAsia="仿宋_GB2312"/>
                <w:sz w:val="22"/>
              </w:rPr>
              <w:t>1</w:t>
            </w:r>
            <w:r>
              <w:rPr>
                <w:rFonts w:ascii="仿宋_GB2312" w:hAnsi="仿宋_GB2312" w:cs="仿宋_GB2312" w:eastAsia="仿宋_GB2312"/>
                <w:sz w:val="22"/>
              </w:rPr>
              <w:t>套，二维反演解释软件</w:t>
            </w:r>
            <w:r>
              <w:rPr>
                <w:rFonts w:ascii="仿宋_GB2312" w:hAnsi="仿宋_GB2312" w:cs="仿宋_GB2312" w:eastAsia="仿宋_GB2312"/>
                <w:sz w:val="22"/>
              </w:rPr>
              <w:t>1</w:t>
            </w:r>
            <w:r>
              <w:rPr>
                <w:rFonts w:ascii="仿宋_GB2312" w:hAnsi="仿宋_GB2312" w:cs="仿宋_GB2312" w:eastAsia="仿宋_GB2312"/>
                <w:sz w:val="22"/>
              </w:rPr>
              <w:t>套。</w:t>
            </w:r>
          </w:p>
        </w:tc>
      </w:tr>
      <w:tr>
        <w:tc>
          <w:tcPr>
            <w:tcW w:type="dxa" w:w="2076"/>
          </w:tcPr>
          <w:p>
            <w:pPr>
              <w:pStyle w:val="null5"/>
              <w:jc w:val="left"/>
            </w:pPr>
            <w:r>
              <w:rPr>
                <w:rFonts w:ascii="仿宋_GB2312" w:hAnsi="仿宋_GB2312" w:cs="仿宋_GB2312" w:eastAsia="仿宋_GB2312"/>
              </w:rPr>
              <w:t>19</w:t>
            </w:r>
          </w:p>
        </w:tc>
        <w:tc>
          <w:tcPr>
            <w:tcW w:type="dxa" w:w="2076"/>
          </w:tcPr>
          <w:p/>
        </w:tc>
        <w:tc>
          <w:tcPr>
            <w:tcW w:type="dxa" w:w="2076"/>
          </w:tcPr>
          <w:p>
            <w:pPr>
              <w:pStyle w:val="null5"/>
              <w:jc w:val="left"/>
            </w:pPr>
            <w:r>
              <w:rPr>
                <w:rFonts w:ascii="仿宋_GB2312" w:hAnsi="仿宋_GB2312" w:cs="仿宋_GB2312" w:eastAsia="仿宋_GB2312"/>
              </w:rPr>
              <w:t>高密度电法仪</w:t>
            </w:r>
          </w:p>
        </w:tc>
        <w:tc>
          <w:tcPr>
            <w:tcW w:type="dxa" w:w="2076"/>
          </w:tcPr>
          <w:p>
            <w:pPr>
              <w:pStyle w:val="null5"/>
              <w:jc w:val="left"/>
            </w:pPr>
            <w:r>
              <w:rPr>
                <w:rFonts w:ascii="仿宋_GB2312" w:hAnsi="仿宋_GB2312" w:cs="仿宋_GB2312" w:eastAsia="仿宋_GB2312"/>
                <w:sz w:val="22"/>
              </w:rPr>
              <w:t>3.</w:t>
            </w:r>
            <w:r>
              <w:rPr>
                <w:rFonts w:ascii="仿宋_GB2312" w:hAnsi="仿宋_GB2312" w:cs="仿宋_GB2312" w:eastAsia="仿宋_GB2312"/>
                <w:sz w:val="22"/>
              </w:rPr>
              <w:t>发射系统：最大发射功率</w:t>
            </w:r>
            <w:r>
              <w:rPr>
                <w:rFonts w:ascii="仿宋_GB2312" w:hAnsi="仿宋_GB2312" w:cs="仿宋_GB2312" w:eastAsia="仿宋_GB2312"/>
                <w:sz w:val="22"/>
              </w:rPr>
              <w:t>≥400VA</w:t>
            </w:r>
            <w:r>
              <w:rPr>
                <w:rFonts w:ascii="仿宋_GB2312" w:hAnsi="仿宋_GB2312" w:cs="仿宋_GB2312" w:eastAsia="仿宋_GB2312"/>
                <w:sz w:val="22"/>
              </w:rPr>
              <w:t>；最大发射电流</w:t>
            </w:r>
            <w:r>
              <w:rPr>
                <w:rFonts w:ascii="仿宋_GB2312" w:hAnsi="仿宋_GB2312" w:cs="仿宋_GB2312" w:eastAsia="仿宋_GB2312"/>
                <w:sz w:val="22"/>
              </w:rPr>
              <w:t>≥2A</w:t>
            </w:r>
            <w:r>
              <w:rPr>
                <w:rFonts w:ascii="仿宋_GB2312" w:hAnsi="仿宋_GB2312" w:cs="仿宋_GB2312" w:eastAsia="仿宋_GB2312"/>
                <w:sz w:val="22"/>
              </w:rPr>
              <w:t>。</w:t>
            </w:r>
          </w:p>
        </w:tc>
      </w:tr>
      <w:tr>
        <w:tc>
          <w:tcPr>
            <w:tcW w:type="dxa" w:w="2076"/>
          </w:tcPr>
          <w:p>
            <w:pPr>
              <w:pStyle w:val="null5"/>
              <w:jc w:val="left"/>
            </w:pPr>
            <w:r>
              <w:rPr>
                <w:rFonts w:ascii="仿宋_GB2312" w:hAnsi="仿宋_GB2312" w:cs="仿宋_GB2312" w:eastAsia="仿宋_GB2312"/>
              </w:rPr>
              <w:t>20</w:t>
            </w:r>
          </w:p>
        </w:tc>
        <w:tc>
          <w:tcPr>
            <w:tcW w:type="dxa" w:w="2076"/>
          </w:tcPr>
          <w:p/>
        </w:tc>
        <w:tc>
          <w:tcPr>
            <w:tcW w:type="dxa" w:w="2076"/>
          </w:tcPr>
          <w:p>
            <w:pPr>
              <w:pStyle w:val="null5"/>
              <w:jc w:val="left"/>
            </w:pPr>
            <w:r>
              <w:rPr>
                <w:rFonts w:ascii="仿宋_GB2312" w:hAnsi="仿宋_GB2312" w:cs="仿宋_GB2312" w:eastAsia="仿宋_GB2312"/>
              </w:rPr>
              <w:t>高密度电法仪</w:t>
            </w:r>
          </w:p>
        </w:tc>
        <w:tc>
          <w:tcPr>
            <w:tcW w:type="dxa" w:w="2076"/>
          </w:tcPr>
          <w:p>
            <w:pPr>
              <w:pStyle w:val="null5"/>
              <w:jc w:val="left"/>
            </w:pPr>
            <w:r>
              <w:rPr>
                <w:rFonts w:ascii="仿宋_GB2312" w:hAnsi="仿宋_GB2312" w:cs="仿宋_GB2312" w:eastAsia="仿宋_GB2312"/>
                <w:sz w:val="22"/>
              </w:rPr>
              <w:t>4.</w:t>
            </w:r>
            <w:r>
              <w:rPr>
                <w:rFonts w:ascii="仿宋_GB2312" w:hAnsi="仿宋_GB2312" w:cs="仿宋_GB2312" w:eastAsia="仿宋_GB2312"/>
                <w:sz w:val="22"/>
              </w:rPr>
              <w:t>接收系统：电压通道输入阻抗</w:t>
            </w:r>
            <w:r>
              <w:rPr>
                <w:rFonts w:ascii="仿宋_GB2312" w:hAnsi="仿宋_GB2312" w:cs="仿宋_GB2312" w:eastAsia="仿宋_GB2312"/>
                <w:sz w:val="22"/>
              </w:rPr>
              <w:t>≥10MΩ</w:t>
            </w:r>
            <w:r>
              <w:rPr>
                <w:rFonts w:ascii="仿宋_GB2312" w:hAnsi="仿宋_GB2312" w:cs="仿宋_GB2312" w:eastAsia="仿宋_GB2312"/>
                <w:sz w:val="22"/>
              </w:rPr>
              <w:t>；</w:t>
            </w:r>
            <w:r>
              <w:rPr>
                <w:rFonts w:ascii="仿宋_GB2312" w:hAnsi="仿宋_GB2312" w:cs="仿宋_GB2312" w:eastAsia="仿宋_GB2312"/>
                <w:sz w:val="22"/>
              </w:rPr>
              <w:t>24</w:t>
            </w:r>
            <w:r>
              <w:rPr>
                <w:rFonts w:ascii="仿宋_GB2312" w:hAnsi="仿宋_GB2312" w:cs="仿宋_GB2312" w:eastAsia="仿宋_GB2312"/>
                <w:sz w:val="22"/>
              </w:rPr>
              <w:t>位</w:t>
            </w:r>
            <w:r>
              <w:rPr>
                <w:rFonts w:ascii="仿宋_GB2312" w:hAnsi="仿宋_GB2312" w:cs="仿宋_GB2312" w:eastAsia="仿宋_GB2312"/>
                <w:sz w:val="22"/>
              </w:rPr>
              <w:t>A/D</w:t>
            </w:r>
            <w:r>
              <w:rPr>
                <w:rFonts w:ascii="仿宋_GB2312" w:hAnsi="仿宋_GB2312" w:cs="仿宋_GB2312" w:eastAsia="仿宋_GB2312"/>
                <w:sz w:val="22"/>
              </w:rPr>
              <w:t>转换。</w:t>
            </w:r>
          </w:p>
        </w:tc>
      </w:tr>
      <w:tr>
        <w:tc>
          <w:tcPr>
            <w:tcW w:type="dxa" w:w="2076"/>
          </w:tcPr>
          <w:p>
            <w:pPr>
              <w:pStyle w:val="null5"/>
              <w:jc w:val="left"/>
            </w:pPr>
            <w:r>
              <w:rPr>
                <w:rFonts w:ascii="仿宋_GB2312" w:hAnsi="仿宋_GB2312" w:cs="仿宋_GB2312" w:eastAsia="仿宋_GB2312"/>
              </w:rPr>
              <w:t>21</w:t>
            </w:r>
          </w:p>
        </w:tc>
        <w:tc>
          <w:tcPr>
            <w:tcW w:type="dxa" w:w="2076"/>
          </w:tcPr>
          <w:p/>
        </w:tc>
        <w:tc>
          <w:tcPr>
            <w:tcW w:type="dxa" w:w="2076"/>
          </w:tcPr>
          <w:p>
            <w:pPr>
              <w:pStyle w:val="null5"/>
              <w:jc w:val="left"/>
            </w:pPr>
            <w:r>
              <w:rPr>
                <w:rFonts w:ascii="仿宋_GB2312" w:hAnsi="仿宋_GB2312" w:cs="仿宋_GB2312" w:eastAsia="仿宋_GB2312"/>
              </w:rPr>
              <w:t>高密度电法仪</w:t>
            </w:r>
          </w:p>
        </w:tc>
        <w:tc>
          <w:tcPr>
            <w:tcW w:type="dxa" w:w="2076"/>
          </w:tcPr>
          <w:p>
            <w:pPr>
              <w:pStyle w:val="null5"/>
              <w:jc w:val="left"/>
            </w:pPr>
            <w:r>
              <w:rPr>
                <w:rFonts w:ascii="仿宋_GB2312" w:hAnsi="仿宋_GB2312" w:cs="仿宋_GB2312" w:eastAsia="仿宋_GB2312"/>
                <w:sz w:val="22"/>
              </w:rPr>
              <w:t>5.</w:t>
            </w:r>
            <w:r>
              <w:rPr>
                <w:rFonts w:ascii="仿宋_GB2312" w:hAnsi="仿宋_GB2312" w:cs="仿宋_GB2312" w:eastAsia="仿宋_GB2312"/>
                <w:sz w:val="22"/>
              </w:rPr>
              <w:t>主机</w:t>
            </w:r>
            <w:r>
              <w:rPr>
                <w:rFonts w:ascii="仿宋_GB2312" w:hAnsi="仿宋_GB2312" w:cs="仿宋_GB2312" w:eastAsia="仿宋_GB2312"/>
                <w:sz w:val="22"/>
              </w:rPr>
              <w:t>可随时监测供电电流、测量电压，视电阻率剖面可实时显示，便于监控数据质量。</w:t>
            </w:r>
          </w:p>
        </w:tc>
      </w:tr>
      <w:tr>
        <w:tc>
          <w:tcPr>
            <w:tcW w:type="dxa" w:w="2076"/>
          </w:tcPr>
          <w:p>
            <w:pPr>
              <w:pStyle w:val="null5"/>
              <w:jc w:val="left"/>
            </w:pPr>
            <w:r>
              <w:rPr>
                <w:rFonts w:ascii="仿宋_GB2312" w:hAnsi="仿宋_GB2312" w:cs="仿宋_GB2312" w:eastAsia="仿宋_GB2312"/>
              </w:rPr>
              <w:t>22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高密度电法仪</w:t>
            </w:r>
          </w:p>
        </w:tc>
        <w:tc>
          <w:tcPr>
            <w:tcW w:type="dxa" w:w="2076"/>
          </w:tcPr>
          <w:p>
            <w:pPr>
              <w:pStyle w:val="null5"/>
              <w:jc w:val="left"/>
            </w:pPr>
            <w:r>
              <w:rPr>
                <w:rFonts w:ascii="仿宋_GB2312" w:hAnsi="仿宋_GB2312" w:cs="仿宋_GB2312" w:eastAsia="仿宋_GB2312"/>
                <w:sz w:val="22"/>
              </w:rPr>
              <w:t>6.</w:t>
            </w:r>
            <w:r>
              <w:rPr>
                <w:rFonts w:ascii="仿宋_GB2312" w:hAnsi="仿宋_GB2312" w:cs="仿宋_GB2312" w:eastAsia="仿宋_GB2312"/>
                <w:sz w:val="22"/>
              </w:rPr>
              <w:t>主机性能：内置工业控制计算机，运行内存</w:t>
            </w:r>
            <w:r>
              <w:rPr>
                <w:rFonts w:ascii="仿宋_GB2312" w:hAnsi="仿宋_GB2312" w:cs="仿宋_GB2312" w:eastAsia="仿宋_GB2312"/>
                <w:sz w:val="22"/>
              </w:rPr>
              <w:t>≥2GB</w:t>
            </w:r>
            <w:r>
              <w:rPr>
                <w:rFonts w:ascii="仿宋_GB2312" w:hAnsi="仿宋_GB2312" w:cs="仿宋_GB2312" w:eastAsia="仿宋_GB2312"/>
                <w:sz w:val="22"/>
              </w:rPr>
              <w:t>，存储空间</w:t>
            </w:r>
            <w:r>
              <w:rPr>
                <w:rFonts w:ascii="仿宋_GB2312" w:hAnsi="仿宋_GB2312" w:cs="仿宋_GB2312" w:eastAsia="仿宋_GB2312"/>
                <w:sz w:val="22"/>
              </w:rPr>
              <w:t>≥160GB</w:t>
            </w:r>
            <w:r>
              <w:rPr>
                <w:rFonts w:ascii="仿宋_GB2312" w:hAnsi="仿宋_GB2312" w:cs="仿宋_GB2312" w:eastAsia="仿宋_GB2312"/>
                <w:sz w:val="22"/>
              </w:rPr>
              <w:t>；系统最大带极能力</w:t>
            </w:r>
            <w:r>
              <w:rPr>
                <w:rFonts w:ascii="仿宋_GB2312" w:hAnsi="仿宋_GB2312" w:cs="仿宋_GB2312" w:eastAsia="仿宋_GB2312"/>
                <w:sz w:val="22"/>
              </w:rPr>
              <w:t>≥2000</w:t>
            </w:r>
            <w:r>
              <w:rPr>
                <w:rFonts w:ascii="仿宋_GB2312" w:hAnsi="仿宋_GB2312" w:cs="仿宋_GB2312" w:eastAsia="仿宋_GB2312"/>
                <w:sz w:val="22"/>
              </w:rPr>
              <w:t>极；配备不小于</w:t>
            </w:r>
            <w:r>
              <w:rPr>
                <w:rFonts w:ascii="仿宋_GB2312" w:hAnsi="仿宋_GB2312" w:cs="仿宋_GB2312" w:eastAsia="仿宋_GB2312"/>
                <w:sz w:val="22"/>
              </w:rPr>
              <w:t>10</w:t>
            </w:r>
            <w:r>
              <w:rPr>
                <w:rFonts w:ascii="仿宋_GB2312" w:hAnsi="仿宋_GB2312" w:cs="仿宋_GB2312" w:eastAsia="仿宋_GB2312"/>
                <w:sz w:val="22"/>
              </w:rPr>
              <w:t>英寸彩色触控显示屏，户外可视。</w:t>
            </w:r>
          </w:p>
        </w:tc>
      </w:tr>
      <w:tr>
        <w:tc>
          <w:tcPr>
            <w:tcW w:type="dxa" w:w="2076"/>
          </w:tcPr>
          <w:p>
            <w:pPr>
              <w:pStyle w:val="null5"/>
              <w:jc w:val="left"/>
            </w:pPr>
            <w:r>
              <w:rPr>
                <w:rFonts w:ascii="仿宋_GB2312" w:hAnsi="仿宋_GB2312" w:cs="仿宋_GB2312" w:eastAsia="仿宋_GB2312"/>
              </w:rPr>
              <w:t>23</w:t>
            </w:r>
          </w:p>
        </w:tc>
        <w:tc>
          <w:tcPr>
            <w:tcW w:type="dxa" w:w="2076"/>
          </w:tcPr>
          <w:p/>
        </w:tc>
        <w:tc>
          <w:tcPr>
            <w:tcW w:type="dxa" w:w="2076"/>
          </w:tcPr>
          <w:p>
            <w:pPr>
              <w:pStyle w:val="null5"/>
              <w:jc w:val="left"/>
            </w:pPr>
            <w:r>
              <w:rPr>
                <w:rFonts w:ascii="仿宋_GB2312" w:hAnsi="仿宋_GB2312" w:cs="仿宋_GB2312" w:eastAsia="仿宋_GB2312"/>
              </w:rPr>
              <w:t>高密度电法仪</w:t>
            </w:r>
          </w:p>
        </w:tc>
        <w:tc>
          <w:tcPr>
            <w:tcW w:type="dxa" w:w="2076"/>
          </w:tcPr>
          <w:p>
            <w:pPr>
              <w:pStyle w:val="null5"/>
              <w:jc w:val="left"/>
            </w:pPr>
            <w:r>
              <w:rPr>
                <w:rFonts w:ascii="仿宋_GB2312" w:hAnsi="仿宋_GB2312" w:cs="仿宋_GB2312" w:eastAsia="仿宋_GB2312"/>
                <w:sz w:val="22"/>
              </w:rPr>
              <w:t>7.</w:t>
            </w:r>
            <w:r>
              <w:rPr>
                <w:rFonts w:ascii="仿宋_GB2312" w:hAnsi="仿宋_GB2312" w:cs="仿宋_GB2312" w:eastAsia="仿宋_GB2312"/>
                <w:sz w:val="22"/>
              </w:rPr>
              <w:t>供电档位：分档可选。</w:t>
            </w:r>
          </w:p>
        </w:tc>
      </w:tr>
      <w:tr>
        <w:tc>
          <w:tcPr>
            <w:tcW w:type="dxa" w:w="2076"/>
          </w:tcPr>
          <w:p>
            <w:pPr>
              <w:pStyle w:val="null5"/>
              <w:jc w:val="left"/>
            </w:pPr>
            <w:r>
              <w:rPr>
                <w:rFonts w:ascii="仿宋_GB2312" w:hAnsi="仿宋_GB2312" w:cs="仿宋_GB2312" w:eastAsia="仿宋_GB2312"/>
              </w:rPr>
              <w:t>24</w:t>
            </w:r>
          </w:p>
        </w:tc>
        <w:tc>
          <w:tcPr>
            <w:tcW w:type="dxa" w:w="2076"/>
          </w:tcPr>
          <w:p/>
        </w:tc>
        <w:tc>
          <w:tcPr>
            <w:tcW w:type="dxa" w:w="2076"/>
          </w:tcPr>
          <w:p>
            <w:pPr>
              <w:pStyle w:val="null5"/>
              <w:jc w:val="left"/>
            </w:pPr>
            <w:r>
              <w:rPr>
                <w:rFonts w:ascii="仿宋_GB2312" w:hAnsi="仿宋_GB2312" w:cs="仿宋_GB2312" w:eastAsia="仿宋_GB2312"/>
              </w:rPr>
              <w:t>高密度电法仪</w:t>
            </w:r>
          </w:p>
        </w:tc>
        <w:tc>
          <w:tcPr>
            <w:tcW w:type="dxa" w:w="2076"/>
          </w:tcPr>
          <w:p>
            <w:pPr>
              <w:pStyle w:val="null5"/>
              <w:jc w:val="left"/>
            </w:pPr>
            <w:r>
              <w:rPr>
                <w:rFonts w:ascii="仿宋_GB2312" w:hAnsi="仿宋_GB2312" w:cs="仿宋_GB2312" w:eastAsia="仿宋_GB2312"/>
                <w:sz w:val="22"/>
              </w:rPr>
              <w:t>8.</w:t>
            </w:r>
            <w:r>
              <w:rPr>
                <w:rFonts w:ascii="仿宋_GB2312" w:hAnsi="仿宋_GB2312" w:cs="仿宋_GB2312" w:eastAsia="仿宋_GB2312"/>
                <w:sz w:val="22"/>
              </w:rPr>
              <w:t>显示成图：测量结果以色块图和剖面曲线图显示，直接观察测量效果。</w:t>
            </w:r>
          </w:p>
        </w:tc>
      </w:tr>
      <w:tr>
        <w:tc>
          <w:tcPr>
            <w:tcW w:type="dxa" w:w="2076"/>
          </w:tcPr>
          <w:p>
            <w:pPr>
              <w:pStyle w:val="null5"/>
              <w:jc w:val="left"/>
            </w:pPr>
            <w:r>
              <w:rPr>
                <w:rFonts w:ascii="仿宋_GB2312" w:hAnsi="仿宋_GB2312" w:cs="仿宋_GB2312" w:eastAsia="仿宋_GB2312"/>
              </w:rPr>
              <w:t>25</w:t>
            </w:r>
          </w:p>
        </w:tc>
        <w:tc>
          <w:tcPr>
            <w:tcW w:type="dxa" w:w="2076"/>
          </w:tcPr>
          <w:p/>
        </w:tc>
        <w:tc>
          <w:tcPr>
            <w:tcW w:type="dxa" w:w="2076"/>
          </w:tcPr>
          <w:p>
            <w:pPr>
              <w:pStyle w:val="null5"/>
              <w:jc w:val="left"/>
            </w:pPr>
            <w:r>
              <w:rPr>
                <w:rFonts w:ascii="仿宋_GB2312" w:hAnsi="仿宋_GB2312" w:cs="仿宋_GB2312" w:eastAsia="仿宋_GB2312"/>
              </w:rPr>
              <w:t>高密度电法仪</w:t>
            </w:r>
          </w:p>
        </w:tc>
        <w:tc>
          <w:tcPr>
            <w:tcW w:type="dxa" w:w="2076"/>
          </w:tcPr>
          <w:p>
            <w:pPr>
              <w:pStyle w:val="null5"/>
              <w:jc w:val="left"/>
            </w:pPr>
            <w:r>
              <w:rPr>
                <w:rFonts w:ascii="仿宋_GB2312" w:hAnsi="仿宋_GB2312" w:cs="仿宋_GB2312" w:eastAsia="仿宋_GB2312"/>
                <w:sz w:val="22"/>
              </w:rPr>
              <w:t>9.</w:t>
            </w:r>
            <w:r>
              <w:rPr>
                <w:rFonts w:ascii="仿宋_GB2312" w:hAnsi="仿宋_GB2312" w:cs="仿宋_GB2312" w:eastAsia="仿宋_GB2312"/>
                <w:sz w:val="22"/>
              </w:rPr>
              <w:t>数据格式：支持</w:t>
            </w:r>
            <w:r>
              <w:rPr>
                <w:rFonts w:ascii="仿宋_GB2312" w:hAnsi="仿宋_GB2312" w:cs="仿宋_GB2312" w:eastAsia="仿宋_GB2312"/>
                <w:sz w:val="22"/>
              </w:rPr>
              <w:t>RES2DINV</w:t>
            </w:r>
            <w:r>
              <w:rPr>
                <w:rFonts w:ascii="仿宋_GB2312" w:hAnsi="仿宋_GB2312" w:cs="仿宋_GB2312" w:eastAsia="仿宋_GB2312"/>
                <w:sz w:val="22"/>
              </w:rPr>
              <w:t>标准格式、通用文本格式导出；测量数据可直接导入反演软件处理。</w:t>
            </w:r>
          </w:p>
        </w:tc>
      </w:tr>
      <w:tr>
        <w:tc>
          <w:tcPr>
            <w:tcW w:type="dxa" w:w="2076"/>
          </w:tcPr>
          <w:p>
            <w:pPr>
              <w:pStyle w:val="null5"/>
              <w:jc w:val="left"/>
            </w:pPr>
            <w:r>
              <w:rPr>
                <w:rFonts w:ascii="仿宋_GB2312" w:hAnsi="仿宋_GB2312" w:cs="仿宋_GB2312" w:eastAsia="仿宋_GB2312"/>
              </w:rPr>
              <w:t>26</w:t>
            </w:r>
          </w:p>
        </w:tc>
        <w:tc>
          <w:tcPr>
            <w:tcW w:type="dxa" w:w="2076"/>
          </w:tcPr>
          <w:p/>
        </w:tc>
        <w:tc>
          <w:tcPr>
            <w:tcW w:type="dxa" w:w="2076"/>
          </w:tcPr>
          <w:p>
            <w:pPr>
              <w:pStyle w:val="null5"/>
              <w:jc w:val="left"/>
            </w:pPr>
            <w:r>
              <w:rPr>
                <w:rFonts w:ascii="仿宋_GB2312" w:hAnsi="仿宋_GB2312" w:cs="仿宋_GB2312" w:eastAsia="仿宋_GB2312"/>
              </w:rPr>
              <w:t>高密度电法仪</w:t>
            </w:r>
          </w:p>
        </w:tc>
        <w:tc>
          <w:tcPr>
            <w:tcW w:type="dxa" w:w="2076"/>
          </w:tcPr>
          <w:p>
            <w:pPr>
              <w:pStyle w:val="null5"/>
              <w:jc w:val="left"/>
            </w:pPr>
            <w:r>
              <w:rPr>
                <w:rFonts w:ascii="仿宋_GB2312" w:hAnsi="仿宋_GB2312" w:cs="仿宋_GB2312" w:eastAsia="仿宋_GB2312"/>
                <w:sz w:val="22"/>
              </w:rPr>
              <w:t>10.</w:t>
            </w:r>
            <w:r>
              <w:rPr>
                <w:rFonts w:ascii="仿宋_GB2312" w:hAnsi="仿宋_GB2312" w:cs="仿宋_GB2312" w:eastAsia="仿宋_GB2312"/>
                <w:sz w:val="22"/>
              </w:rPr>
              <w:t>反演软件：配备二维电阻率；支持最小二乘反演、平滑约束反演；支持地形校正；支持反演结果彩色成图与剖面输出。</w:t>
            </w:r>
          </w:p>
        </w:tc>
      </w:tr>
      <w:tr>
        <w:tc>
          <w:tcPr>
            <w:tcW w:type="dxa" w:w="2076"/>
          </w:tcPr>
          <w:p>
            <w:pPr>
              <w:pStyle w:val="null5"/>
              <w:jc w:val="left"/>
            </w:pPr>
            <w:r>
              <w:rPr>
                <w:rFonts w:ascii="仿宋_GB2312" w:hAnsi="仿宋_GB2312" w:cs="仿宋_GB2312" w:eastAsia="仿宋_GB2312"/>
              </w:rPr>
              <w:t>27</w:t>
            </w:r>
          </w:p>
        </w:tc>
        <w:tc>
          <w:tcPr>
            <w:tcW w:type="dxa" w:w="2076"/>
          </w:tcPr>
          <w:p/>
        </w:tc>
        <w:tc>
          <w:tcPr>
            <w:tcW w:type="dxa" w:w="2076"/>
          </w:tcPr>
          <w:p>
            <w:pPr>
              <w:pStyle w:val="null5"/>
              <w:jc w:val="left"/>
            </w:pPr>
            <w:r>
              <w:rPr>
                <w:rFonts w:ascii="仿宋_GB2312" w:hAnsi="仿宋_GB2312" w:cs="仿宋_GB2312" w:eastAsia="仿宋_GB2312"/>
              </w:rPr>
              <w:t>高密度电法仪</w:t>
            </w:r>
          </w:p>
        </w:tc>
        <w:tc>
          <w:tcPr>
            <w:tcW w:type="dxa" w:w="2076"/>
          </w:tcPr>
          <w:p>
            <w:pPr>
              <w:pStyle w:val="null5"/>
              <w:jc w:val="left"/>
            </w:pPr>
            <w:r>
              <w:rPr>
                <w:rFonts w:ascii="仿宋_GB2312" w:hAnsi="仿宋_GB2312" w:cs="仿宋_GB2312" w:eastAsia="仿宋_GB2312"/>
                <w:sz w:val="22"/>
              </w:rPr>
              <w:t>11.</w:t>
            </w:r>
            <w:r>
              <w:rPr>
                <w:rFonts w:ascii="仿宋_GB2312" w:hAnsi="仿宋_GB2312" w:cs="仿宋_GB2312" w:eastAsia="仿宋_GB2312"/>
                <w:sz w:val="22"/>
              </w:rPr>
              <w:t>电源系统：支持外接</w:t>
            </w:r>
            <w:r>
              <w:rPr>
                <w:rFonts w:ascii="仿宋_GB2312" w:hAnsi="仿宋_GB2312" w:cs="仿宋_GB2312" w:eastAsia="仿宋_GB2312"/>
                <w:sz w:val="22"/>
              </w:rPr>
              <w:t>12V</w:t>
            </w:r>
            <w:r>
              <w:rPr>
                <w:rFonts w:ascii="仿宋_GB2312" w:hAnsi="仿宋_GB2312" w:cs="仿宋_GB2312" w:eastAsia="仿宋_GB2312"/>
                <w:sz w:val="22"/>
              </w:rPr>
              <w:t>直流电源与</w:t>
            </w:r>
            <w:r>
              <w:rPr>
                <w:rFonts w:ascii="仿宋_GB2312" w:hAnsi="仿宋_GB2312" w:cs="仿宋_GB2312" w:eastAsia="仿宋_GB2312"/>
                <w:sz w:val="22"/>
              </w:rPr>
              <w:t>220V</w:t>
            </w:r>
            <w:r>
              <w:rPr>
                <w:rFonts w:ascii="仿宋_GB2312" w:hAnsi="仿宋_GB2312" w:cs="仿宋_GB2312" w:eastAsia="仿宋_GB2312"/>
                <w:sz w:val="22"/>
              </w:rPr>
              <w:t>交流供电。</w:t>
            </w:r>
          </w:p>
        </w:tc>
      </w:tr>
      <w:tr>
        <w:tc>
          <w:tcPr>
            <w:tcW w:type="dxa" w:w="2076"/>
          </w:tcPr>
          <w:p>
            <w:pPr>
              <w:pStyle w:val="null5"/>
              <w:jc w:val="left"/>
            </w:pPr>
            <w:r>
              <w:rPr>
                <w:rFonts w:ascii="仿宋_GB2312" w:hAnsi="仿宋_GB2312" w:cs="仿宋_GB2312" w:eastAsia="仿宋_GB2312"/>
              </w:rPr>
              <w:t>28</w:t>
            </w:r>
          </w:p>
        </w:tc>
        <w:tc>
          <w:tcPr>
            <w:tcW w:type="dxa" w:w="2076"/>
          </w:tcPr>
          <w:p/>
        </w:tc>
        <w:tc>
          <w:tcPr>
            <w:tcW w:type="dxa" w:w="2076"/>
          </w:tcPr>
          <w:p>
            <w:pPr>
              <w:pStyle w:val="null5"/>
              <w:jc w:val="left"/>
            </w:pPr>
            <w:r>
              <w:rPr>
                <w:rFonts w:ascii="仿宋_GB2312" w:hAnsi="仿宋_GB2312" w:cs="仿宋_GB2312" w:eastAsia="仿宋_GB2312"/>
              </w:rPr>
              <w:t>高密度电法仪</w:t>
            </w:r>
          </w:p>
        </w:tc>
        <w:tc>
          <w:tcPr>
            <w:tcW w:type="dxa" w:w="2076"/>
          </w:tcPr>
          <w:p>
            <w:pPr>
              <w:pStyle w:val="null5"/>
              <w:jc w:val="left"/>
            </w:pPr>
            <w:r>
              <w:rPr>
                <w:rFonts w:ascii="仿宋_GB2312" w:hAnsi="仿宋_GB2312" w:cs="仿宋_GB2312" w:eastAsia="仿宋_GB2312"/>
                <w:sz w:val="22"/>
              </w:rPr>
              <w:t>12.</w:t>
            </w:r>
            <w:r>
              <w:rPr>
                <w:rFonts w:ascii="仿宋_GB2312" w:hAnsi="仿宋_GB2312" w:cs="仿宋_GB2312" w:eastAsia="仿宋_GB2312"/>
                <w:sz w:val="22"/>
              </w:rPr>
              <w:t>环境适应性：工作温度范围</w:t>
            </w:r>
            <w:r>
              <w:rPr>
                <w:rFonts w:ascii="仿宋_GB2312" w:hAnsi="仿宋_GB2312" w:cs="仿宋_GB2312" w:eastAsia="仿宋_GB2312"/>
                <w:sz w:val="22"/>
              </w:rPr>
              <w:t>-10℃~+50℃</w:t>
            </w:r>
            <w:r>
              <w:rPr>
                <w:rFonts w:ascii="仿宋_GB2312" w:hAnsi="仿宋_GB2312" w:cs="仿宋_GB2312" w:eastAsia="仿宋_GB2312"/>
                <w:sz w:val="22"/>
              </w:rPr>
              <w:t>；存储温度范围</w:t>
            </w:r>
            <w:r>
              <w:rPr>
                <w:rFonts w:ascii="仿宋_GB2312" w:hAnsi="仿宋_GB2312" w:cs="仿宋_GB2312" w:eastAsia="仿宋_GB2312"/>
                <w:sz w:val="22"/>
              </w:rPr>
              <w:t>-20℃~+60℃</w:t>
            </w:r>
            <w:r>
              <w:rPr>
                <w:rFonts w:ascii="仿宋_GB2312" w:hAnsi="仿宋_GB2312" w:cs="仿宋_GB2312" w:eastAsia="仿宋_GB2312"/>
                <w:sz w:val="22"/>
              </w:rPr>
              <w:t>；相对湿度</w:t>
            </w:r>
            <w:r>
              <w:rPr>
                <w:rFonts w:ascii="仿宋_GB2312" w:hAnsi="仿宋_GB2312" w:cs="仿宋_GB2312" w:eastAsia="仿宋_GB2312"/>
                <w:sz w:val="22"/>
              </w:rPr>
              <w:t>5%~95%</w:t>
            </w:r>
            <w:r>
              <w:rPr>
                <w:rFonts w:ascii="仿宋_GB2312" w:hAnsi="仿宋_GB2312" w:cs="仿宋_GB2312" w:eastAsia="仿宋_GB2312"/>
                <w:sz w:val="22"/>
              </w:rPr>
              <w:t>（无冷凝）；主机防护等级不低于</w:t>
            </w:r>
            <w:r>
              <w:rPr>
                <w:rFonts w:ascii="仿宋_GB2312" w:hAnsi="仿宋_GB2312" w:cs="仿宋_GB2312" w:eastAsia="仿宋_GB2312"/>
                <w:sz w:val="22"/>
              </w:rPr>
              <w:t>IP54</w:t>
            </w:r>
            <w:r>
              <w:rPr>
                <w:rFonts w:ascii="仿宋_GB2312" w:hAnsi="仿宋_GB2312" w:cs="仿宋_GB2312" w:eastAsia="仿宋_GB2312"/>
                <w:sz w:val="22"/>
              </w:rPr>
              <w:t>。</w:t>
            </w:r>
          </w:p>
        </w:tc>
      </w:tr>
      <w:tr>
        <w:tc>
          <w:tcPr>
            <w:tcW w:type="dxa" w:w="2076"/>
          </w:tcPr>
          <w:p>
            <w:pPr>
              <w:pStyle w:val="null5"/>
              <w:jc w:val="left"/>
            </w:pPr>
            <w:r>
              <w:rPr>
                <w:rFonts w:ascii="仿宋_GB2312" w:hAnsi="仿宋_GB2312" w:cs="仿宋_GB2312" w:eastAsia="仿宋_GB2312"/>
              </w:rPr>
              <w:t>29</w:t>
            </w:r>
          </w:p>
        </w:tc>
        <w:tc>
          <w:tcPr>
            <w:tcW w:type="dxa" w:w="2076"/>
          </w:tcPr>
          <w:p/>
        </w:tc>
        <w:tc>
          <w:tcPr>
            <w:tcW w:type="dxa" w:w="2076"/>
          </w:tcPr>
          <w:p>
            <w:pPr>
              <w:pStyle w:val="null5"/>
              <w:jc w:val="left"/>
            </w:pPr>
            <w:r>
              <w:rPr>
                <w:rFonts w:ascii="仿宋_GB2312" w:hAnsi="仿宋_GB2312" w:cs="仿宋_GB2312" w:eastAsia="仿宋_GB2312"/>
              </w:rPr>
              <w:t>高密度电法仪</w:t>
            </w:r>
          </w:p>
        </w:tc>
        <w:tc>
          <w:tcPr>
            <w:tcW w:type="dxa" w:w="2076"/>
          </w:tcPr>
          <w:p>
            <w:pPr>
              <w:pStyle w:val="null5"/>
              <w:jc w:val="left"/>
            </w:pPr>
            <w:r>
              <w:rPr>
                <w:rFonts w:ascii="仿宋_GB2312" w:hAnsi="仿宋_GB2312" w:cs="仿宋_GB2312" w:eastAsia="仿宋_GB2312"/>
                <w:sz w:val="22"/>
              </w:rPr>
              <w:t>1</w:t>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物理特性：主机总重量</w:t>
            </w:r>
            <w:r>
              <w:rPr>
                <w:rFonts w:ascii="仿宋_GB2312" w:hAnsi="仿宋_GB2312" w:cs="仿宋_GB2312" w:eastAsia="仿宋_GB2312"/>
                <w:sz w:val="22"/>
              </w:rPr>
              <w:t>≤6</w:t>
            </w:r>
            <w:r>
              <w:rPr>
                <w:rFonts w:ascii="仿宋_GB2312" w:hAnsi="仿宋_GB2312" w:cs="仿宋_GB2312" w:eastAsia="仿宋_GB2312"/>
                <w:sz w:val="22"/>
              </w:rPr>
              <w:t>.5</w:t>
            </w:r>
            <w:r>
              <w:rPr>
                <w:rFonts w:ascii="仿宋_GB2312" w:hAnsi="仿宋_GB2312" w:cs="仿宋_GB2312" w:eastAsia="仿宋_GB2312"/>
                <w:sz w:val="22"/>
              </w:rPr>
              <w:t>kg</w:t>
            </w:r>
            <w:r>
              <w:rPr>
                <w:rFonts w:ascii="仿宋_GB2312" w:hAnsi="仿宋_GB2312" w:cs="仿宋_GB2312" w:eastAsia="仿宋_GB2312"/>
                <w:sz w:val="22"/>
              </w:rPr>
              <w:t>；采用铝合金外壳，具备抗震防摔设计。</w:t>
            </w:r>
          </w:p>
        </w:tc>
      </w:tr>
      <w:tr>
        <w:tc>
          <w:tcPr>
            <w:tcW w:type="dxa" w:w="2076"/>
          </w:tcPr>
          <w:p>
            <w:pPr>
              <w:pStyle w:val="null5"/>
              <w:jc w:val="left"/>
            </w:pPr>
            <w:r>
              <w:rPr>
                <w:rFonts w:ascii="仿宋_GB2312" w:hAnsi="仿宋_GB2312" w:cs="仿宋_GB2312" w:eastAsia="仿宋_GB2312"/>
              </w:rPr>
              <w:t>30</w:t>
            </w:r>
          </w:p>
        </w:tc>
        <w:tc>
          <w:tcPr>
            <w:tcW w:type="dxa" w:w="2076"/>
          </w:tcPr>
          <w:p/>
        </w:tc>
        <w:tc>
          <w:tcPr>
            <w:tcW w:type="dxa" w:w="2076"/>
          </w:tcPr>
          <w:p>
            <w:pPr>
              <w:pStyle w:val="null5"/>
              <w:jc w:val="left"/>
            </w:pPr>
            <w:r>
              <w:rPr>
                <w:rFonts w:ascii="仿宋_GB2312" w:hAnsi="仿宋_GB2312" w:cs="仿宋_GB2312" w:eastAsia="仿宋_GB2312"/>
              </w:rPr>
              <w:t>质子磁力仪</w:t>
            </w:r>
          </w:p>
        </w:tc>
        <w:tc>
          <w:tcPr>
            <w:tcW w:type="dxa" w:w="2076"/>
          </w:tcPr>
          <w:p>
            <w:pPr>
              <w:pStyle w:val="null5"/>
              <w:jc w:val="left"/>
            </w:pPr>
            <w:r>
              <w:rPr>
                <w:rFonts w:ascii="仿宋_GB2312" w:hAnsi="仿宋_GB2312" w:cs="仿宋_GB2312" w:eastAsia="仿宋_GB2312"/>
                <w:sz w:val="22"/>
              </w:rPr>
              <w:t>数量：</w:t>
            </w:r>
            <w:r>
              <w:rPr>
                <w:rFonts w:ascii="仿宋_GB2312" w:hAnsi="仿宋_GB2312" w:cs="仿宋_GB2312" w:eastAsia="仿宋_GB2312"/>
                <w:sz w:val="22"/>
              </w:rPr>
              <w:t>2</w:t>
            </w:r>
            <w:r>
              <w:rPr>
                <w:rFonts w:ascii="仿宋_GB2312" w:hAnsi="仿宋_GB2312" w:cs="仿宋_GB2312" w:eastAsia="仿宋_GB2312"/>
                <w:sz w:val="22"/>
              </w:rPr>
              <w:t>台；</w:t>
            </w:r>
          </w:p>
        </w:tc>
      </w:tr>
      <w:tr>
        <w:tc>
          <w:tcPr>
            <w:tcW w:type="dxa" w:w="2076"/>
          </w:tcPr>
          <w:p>
            <w:pPr>
              <w:pStyle w:val="null5"/>
              <w:jc w:val="left"/>
            </w:pPr>
            <w:r>
              <w:rPr>
                <w:rFonts w:ascii="仿宋_GB2312" w:hAnsi="仿宋_GB2312" w:cs="仿宋_GB2312" w:eastAsia="仿宋_GB2312"/>
              </w:rPr>
              <w:t>31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质子磁力仪</w:t>
            </w:r>
          </w:p>
        </w:tc>
        <w:tc>
          <w:tcPr>
            <w:tcW w:type="dxa" w:w="2076"/>
          </w:tcPr>
          <w:p>
            <w:pPr>
              <w:pStyle w:val="null5"/>
              <w:jc w:val="left"/>
            </w:pPr>
            <w:r>
              <w:rPr>
                <w:rFonts w:ascii="仿宋_GB2312" w:hAnsi="仿宋_GB2312" w:cs="仿宋_GB2312" w:eastAsia="仿宋_GB2312"/>
                <w:sz w:val="22"/>
              </w:rPr>
              <w:t>1.</w:t>
            </w:r>
            <w:r>
              <w:rPr>
                <w:rFonts w:ascii="仿宋_GB2312" w:hAnsi="仿宋_GB2312" w:cs="仿宋_GB2312" w:eastAsia="仿宋_GB2312"/>
                <w:sz w:val="22"/>
              </w:rPr>
              <w:t>测量精度：总磁场测量精度≤</w:t>
            </w:r>
            <w:r>
              <w:rPr>
                <w:rFonts w:ascii="仿宋_GB2312" w:hAnsi="仿宋_GB2312" w:cs="仿宋_GB2312" w:eastAsia="仿宋_GB2312"/>
                <w:sz w:val="22"/>
              </w:rPr>
              <w:t>0.2nT</w:t>
            </w:r>
            <w:r>
              <w:rPr>
                <w:rFonts w:ascii="仿宋_GB2312" w:hAnsi="仿宋_GB2312" w:cs="仿宋_GB2312" w:eastAsia="仿宋_GB2312"/>
                <w:sz w:val="22"/>
              </w:rPr>
              <w:t>（采样时间≥</w:t>
            </w:r>
            <w:r>
              <w:rPr>
                <w:rFonts w:ascii="仿宋_GB2312" w:hAnsi="仿宋_GB2312" w:cs="仿宋_GB2312" w:eastAsia="仿宋_GB2312"/>
                <w:sz w:val="22"/>
              </w:rPr>
              <w:t>2s</w:t>
            </w:r>
            <w:r>
              <w:rPr>
                <w:rFonts w:ascii="仿宋_GB2312" w:hAnsi="仿宋_GB2312" w:cs="仿宋_GB2312" w:eastAsia="仿宋_GB2312"/>
                <w:sz w:val="22"/>
              </w:rPr>
              <w:t>条件下）；读数噪声≤</w:t>
            </w:r>
            <w:r>
              <w:rPr>
                <w:rFonts w:ascii="仿宋_GB2312" w:hAnsi="仿宋_GB2312" w:cs="仿宋_GB2312" w:eastAsia="仿宋_GB2312"/>
                <w:sz w:val="22"/>
              </w:rPr>
              <w:t>0.1nT</w:t>
            </w:r>
            <w:r>
              <w:rPr>
                <w:rFonts w:ascii="仿宋_GB2312" w:hAnsi="仿宋_GB2312" w:cs="仿宋_GB2312" w:eastAsia="仿宋_GB2312"/>
                <w:sz w:val="22"/>
              </w:rPr>
              <w:t>；分辨率</w:t>
            </w:r>
            <w:r>
              <w:rPr>
                <w:rFonts w:ascii="仿宋_GB2312" w:hAnsi="仿宋_GB2312" w:cs="仿宋_GB2312" w:eastAsia="仿宋_GB2312"/>
                <w:sz w:val="22"/>
              </w:rPr>
              <w:t>0.01nT</w:t>
            </w:r>
            <w:r>
              <w:rPr>
                <w:rFonts w:ascii="仿宋_GB2312" w:hAnsi="仿宋_GB2312" w:cs="仿宋_GB2312" w:eastAsia="仿宋_GB2312"/>
                <w:sz w:val="22"/>
              </w:rPr>
              <w:t>。</w:t>
            </w:r>
          </w:p>
        </w:tc>
      </w:tr>
      <w:tr>
        <w:tc>
          <w:tcPr>
            <w:tcW w:type="dxa" w:w="2076"/>
          </w:tcPr>
          <w:p>
            <w:pPr>
              <w:pStyle w:val="null5"/>
              <w:jc w:val="left"/>
            </w:pPr>
            <w:r>
              <w:rPr>
                <w:rFonts w:ascii="仿宋_GB2312" w:hAnsi="仿宋_GB2312" w:cs="仿宋_GB2312" w:eastAsia="仿宋_GB2312"/>
              </w:rPr>
              <w:t>32</w:t>
            </w:r>
          </w:p>
        </w:tc>
        <w:tc>
          <w:tcPr>
            <w:tcW w:type="dxa" w:w="2076"/>
          </w:tcPr>
          <w:p/>
        </w:tc>
        <w:tc>
          <w:tcPr>
            <w:tcW w:type="dxa" w:w="2076"/>
          </w:tcPr>
          <w:p>
            <w:pPr>
              <w:pStyle w:val="null5"/>
              <w:jc w:val="left"/>
            </w:pPr>
            <w:r>
              <w:rPr>
                <w:rFonts w:ascii="仿宋_GB2312" w:hAnsi="仿宋_GB2312" w:cs="仿宋_GB2312" w:eastAsia="仿宋_GB2312"/>
              </w:rPr>
              <w:t>质子磁力仪</w:t>
            </w:r>
          </w:p>
        </w:tc>
        <w:tc>
          <w:tcPr>
            <w:tcW w:type="dxa" w:w="2076"/>
          </w:tcPr>
          <w:p>
            <w:pPr>
              <w:pStyle w:val="null5"/>
              <w:jc w:val="left"/>
            </w:pPr>
            <w:r>
              <w:rPr>
                <w:rFonts w:ascii="仿宋_GB2312" w:hAnsi="仿宋_GB2312" w:cs="仿宋_GB2312" w:eastAsia="仿宋_GB2312"/>
                <w:sz w:val="22"/>
              </w:rPr>
              <w:t>2.</w:t>
            </w:r>
            <w:r>
              <w:rPr>
                <w:rFonts w:ascii="仿宋_GB2312" w:hAnsi="仿宋_GB2312" w:cs="仿宋_GB2312" w:eastAsia="仿宋_GB2312"/>
                <w:sz w:val="22"/>
              </w:rPr>
              <w:t>测量范围：总磁场测量范围</w:t>
            </w:r>
            <w:r>
              <w:rPr>
                <w:rFonts w:ascii="仿宋_GB2312" w:hAnsi="仿宋_GB2312" w:cs="仿宋_GB2312" w:eastAsia="仿宋_GB2312"/>
                <w:sz w:val="22"/>
              </w:rPr>
              <w:t>20000</w:t>
            </w:r>
            <w:r>
              <w:rPr>
                <w:rFonts w:ascii="仿宋_GB2312" w:hAnsi="仿宋_GB2312" w:cs="仿宋_GB2312" w:eastAsia="仿宋_GB2312"/>
                <w:sz w:val="22"/>
              </w:rPr>
              <w:t>nT-100000nT</w:t>
            </w:r>
            <w:r>
              <w:rPr>
                <w:rFonts w:ascii="仿宋_GB2312" w:hAnsi="仿宋_GB2312" w:cs="仿宋_GB2312" w:eastAsia="仿宋_GB2312"/>
                <w:sz w:val="22"/>
              </w:rPr>
              <w:t>，覆盖全球地磁场正常范围。</w:t>
            </w:r>
          </w:p>
        </w:tc>
      </w:tr>
      <w:tr>
        <w:tc>
          <w:tcPr>
            <w:tcW w:type="dxa" w:w="2076"/>
          </w:tcPr>
          <w:p>
            <w:pPr>
              <w:pStyle w:val="null5"/>
              <w:jc w:val="left"/>
            </w:pPr>
            <w:r>
              <w:rPr>
                <w:rFonts w:ascii="仿宋_GB2312" w:hAnsi="仿宋_GB2312" w:cs="仿宋_GB2312" w:eastAsia="仿宋_GB2312"/>
              </w:rPr>
              <w:t>33</w:t>
            </w:r>
          </w:p>
        </w:tc>
        <w:tc>
          <w:tcPr>
            <w:tcW w:type="dxa" w:w="2076"/>
          </w:tcPr>
          <w:p/>
        </w:tc>
        <w:tc>
          <w:tcPr>
            <w:tcW w:type="dxa" w:w="2076"/>
          </w:tcPr>
          <w:p>
            <w:pPr>
              <w:pStyle w:val="null5"/>
              <w:jc w:val="left"/>
            </w:pPr>
            <w:r>
              <w:rPr>
                <w:rFonts w:ascii="仿宋_GB2312" w:hAnsi="仿宋_GB2312" w:cs="仿宋_GB2312" w:eastAsia="仿宋_GB2312"/>
              </w:rPr>
              <w:t>质子磁力仪</w:t>
            </w:r>
          </w:p>
        </w:tc>
        <w:tc>
          <w:tcPr>
            <w:tcW w:type="dxa" w:w="2076"/>
          </w:tcPr>
          <w:p>
            <w:pPr>
              <w:pStyle w:val="null5"/>
              <w:jc w:val="left"/>
            </w:pPr>
            <w:r>
              <w:rPr>
                <w:rFonts w:ascii="仿宋_GB2312" w:hAnsi="仿宋_GB2312" w:cs="仿宋_GB2312" w:eastAsia="仿宋_GB2312"/>
                <w:sz w:val="22"/>
              </w:rPr>
              <w:t>3.</w:t>
            </w:r>
            <w:r>
              <w:rPr>
                <w:rFonts w:ascii="仿宋_GB2312" w:hAnsi="仿宋_GB2312" w:cs="仿宋_GB2312" w:eastAsia="仿宋_GB2312"/>
                <w:sz w:val="22"/>
              </w:rPr>
              <w:t>梯度容差：最大允许磁场梯度≥</w:t>
            </w:r>
            <w:r>
              <w:rPr>
                <w:rFonts w:ascii="仿宋_GB2312" w:hAnsi="仿宋_GB2312" w:cs="仿宋_GB2312" w:eastAsia="仿宋_GB2312"/>
                <w:sz w:val="22"/>
              </w:rPr>
              <w:t>7000nT/m</w:t>
            </w:r>
            <w:r>
              <w:rPr>
                <w:rFonts w:ascii="仿宋_GB2312" w:hAnsi="仿宋_GB2312" w:cs="仿宋_GB2312" w:eastAsia="仿宋_GB2312"/>
                <w:sz w:val="22"/>
              </w:rPr>
              <w:t>，高梯度环境下可正常测量。</w:t>
            </w:r>
          </w:p>
        </w:tc>
      </w:tr>
      <w:tr>
        <w:tc>
          <w:tcPr>
            <w:tcW w:type="dxa" w:w="2076"/>
          </w:tcPr>
          <w:p>
            <w:pPr>
              <w:pStyle w:val="null5"/>
              <w:jc w:val="left"/>
            </w:pPr>
            <w:r>
              <w:rPr>
                <w:rFonts w:ascii="仿宋_GB2312" w:hAnsi="仿宋_GB2312" w:cs="仿宋_GB2312" w:eastAsia="仿宋_GB2312"/>
              </w:rPr>
              <w:t>34</w:t>
            </w:r>
          </w:p>
        </w:tc>
        <w:tc>
          <w:tcPr>
            <w:tcW w:type="dxa" w:w="2076"/>
          </w:tcPr>
          <w:p/>
        </w:tc>
        <w:tc>
          <w:tcPr>
            <w:tcW w:type="dxa" w:w="2076"/>
          </w:tcPr>
          <w:p>
            <w:pPr>
              <w:pStyle w:val="null5"/>
              <w:jc w:val="left"/>
            </w:pPr>
            <w:r>
              <w:rPr>
                <w:rFonts w:ascii="仿宋_GB2312" w:hAnsi="仿宋_GB2312" w:cs="仿宋_GB2312" w:eastAsia="仿宋_GB2312"/>
              </w:rPr>
              <w:t>质子磁力仪</w:t>
            </w:r>
          </w:p>
        </w:tc>
        <w:tc>
          <w:tcPr>
            <w:tcW w:type="dxa" w:w="2076"/>
          </w:tcPr>
          <w:p>
            <w:pPr>
              <w:pStyle w:val="null5"/>
              <w:jc w:val="left"/>
            </w:pPr>
            <w:r>
              <w:rPr>
                <w:rFonts w:ascii="仿宋_GB2312" w:hAnsi="仿宋_GB2312" w:cs="仿宋_GB2312" w:eastAsia="仿宋_GB2312"/>
                <w:sz w:val="22"/>
              </w:rPr>
              <w:t>4.</w:t>
            </w:r>
            <w:r>
              <w:rPr>
                <w:rFonts w:ascii="仿宋_GB2312" w:hAnsi="仿宋_GB2312" w:cs="仿宋_GB2312" w:eastAsia="仿宋_GB2312"/>
                <w:sz w:val="22"/>
              </w:rPr>
              <w:t>采样模式：支持多档采样间隔可选（</w:t>
            </w:r>
            <w:r>
              <w:rPr>
                <w:rFonts w:ascii="仿宋_GB2312" w:hAnsi="仿宋_GB2312" w:cs="仿宋_GB2312" w:eastAsia="仿宋_GB2312"/>
                <w:sz w:val="22"/>
              </w:rPr>
              <w:t>1s</w:t>
            </w:r>
            <w:r>
              <w:rPr>
                <w:rFonts w:ascii="仿宋_GB2312" w:hAnsi="仿宋_GB2312" w:cs="仿宋_GB2312" w:eastAsia="仿宋_GB2312"/>
                <w:sz w:val="22"/>
              </w:rPr>
              <w:t>、</w:t>
            </w:r>
            <w:r>
              <w:rPr>
                <w:rFonts w:ascii="仿宋_GB2312" w:hAnsi="仿宋_GB2312" w:cs="仿宋_GB2312" w:eastAsia="仿宋_GB2312"/>
                <w:sz w:val="22"/>
              </w:rPr>
              <w:t>2s</w:t>
            </w:r>
            <w:r>
              <w:rPr>
                <w:rFonts w:ascii="仿宋_GB2312" w:hAnsi="仿宋_GB2312" w:cs="仿宋_GB2312" w:eastAsia="仿宋_GB2312"/>
                <w:sz w:val="22"/>
              </w:rPr>
              <w:t>、</w:t>
            </w:r>
            <w:r>
              <w:rPr>
                <w:rFonts w:ascii="仿宋_GB2312" w:hAnsi="仿宋_GB2312" w:cs="仿宋_GB2312" w:eastAsia="仿宋_GB2312"/>
                <w:sz w:val="22"/>
              </w:rPr>
              <w:t>3s</w:t>
            </w:r>
            <w:r>
              <w:rPr>
                <w:rFonts w:ascii="仿宋_GB2312" w:hAnsi="仿宋_GB2312" w:cs="仿宋_GB2312" w:eastAsia="仿宋_GB2312"/>
                <w:sz w:val="22"/>
              </w:rPr>
              <w:t>、</w:t>
            </w:r>
            <w:r>
              <w:rPr>
                <w:rFonts w:ascii="仿宋_GB2312" w:hAnsi="仿宋_GB2312" w:cs="仿宋_GB2312" w:eastAsia="仿宋_GB2312"/>
                <w:sz w:val="22"/>
              </w:rPr>
              <w:t>5s</w:t>
            </w:r>
            <w:r>
              <w:rPr>
                <w:rFonts w:ascii="仿宋_GB2312" w:hAnsi="仿宋_GB2312" w:cs="仿宋_GB2312" w:eastAsia="仿宋_GB2312"/>
                <w:sz w:val="22"/>
              </w:rPr>
              <w:t>、</w:t>
            </w:r>
            <w:r>
              <w:rPr>
                <w:rFonts w:ascii="仿宋_GB2312" w:hAnsi="仿宋_GB2312" w:cs="仿宋_GB2312" w:eastAsia="仿宋_GB2312"/>
                <w:sz w:val="22"/>
              </w:rPr>
              <w:t>10s</w:t>
            </w:r>
            <w:r>
              <w:rPr>
                <w:rFonts w:ascii="仿宋_GB2312" w:hAnsi="仿宋_GB2312" w:cs="仿宋_GB2312" w:eastAsia="仿宋_GB2312"/>
                <w:sz w:val="22"/>
              </w:rPr>
              <w:t>等）；支持连续测量与定点测量双工作模式。</w:t>
            </w:r>
          </w:p>
        </w:tc>
      </w:tr>
      <w:tr>
        <w:tc>
          <w:tcPr>
            <w:tcW w:type="dxa" w:w="2076"/>
          </w:tcPr>
          <w:p>
            <w:pPr>
              <w:pStyle w:val="null5"/>
              <w:jc w:val="left"/>
            </w:pPr>
            <w:r>
              <w:rPr>
                <w:rFonts w:ascii="仿宋_GB2312" w:hAnsi="仿宋_GB2312" w:cs="仿宋_GB2312" w:eastAsia="仿宋_GB2312"/>
              </w:rPr>
              <w:t>35</w:t>
            </w:r>
          </w:p>
        </w:tc>
        <w:tc>
          <w:tcPr>
            <w:tcW w:type="dxa" w:w="2076"/>
          </w:tcPr>
          <w:p/>
        </w:tc>
        <w:tc>
          <w:tcPr>
            <w:tcW w:type="dxa" w:w="2076"/>
          </w:tcPr>
          <w:p>
            <w:pPr>
              <w:pStyle w:val="null5"/>
              <w:jc w:val="left"/>
            </w:pPr>
            <w:r>
              <w:rPr>
                <w:rFonts w:ascii="仿宋_GB2312" w:hAnsi="仿宋_GB2312" w:cs="仿宋_GB2312" w:eastAsia="仿宋_GB2312"/>
              </w:rPr>
              <w:t>质子磁力仪</w:t>
            </w:r>
          </w:p>
        </w:tc>
        <w:tc>
          <w:tcPr>
            <w:tcW w:type="dxa" w:w="2076"/>
          </w:tcPr>
          <w:p>
            <w:pPr>
              <w:pStyle w:val="null5"/>
              <w:jc w:val="left"/>
            </w:pPr>
            <w:r>
              <w:rPr>
                <w:rFonts w:ascii="仿宋_GB2312" w:hAnsi="仿宋_GB2312" w:cs="仿宋_GB2312" w:eastAsia="仿宋_GB2312"/>
                <w:sz w:val="22"/>
              </w:rPr>
              <w:t>5.</w:t>
            </w:r>
            <w:r>
              <w:rPr>
                <w:rFonts w:ascii="仿宋_GB2312" w:hAnsi="仿宋_GB2312" w:cs="仿宋_GB2312" w:eastAsia="仿宋_GB2312"/>
                <w:sz w:val="22"/>
              </w:rPr>
              <w:t>传感器类型：质子旋进式磁力传感器；传感器无零点漂移，无需定期校准。</w:t>
            </w:r>
          </w:p>
        </w:tc>
      </w:tr>
      <w:tr>
        <w:tc>
          <w:tcPr>
            <w:tcW w:type="dxa" w:w="2076"/>
          </w:tcPr>
          <w:p>
            <w:pPr>
              <w:pStyle w:val="null5"/>
              <w:jc w:val="left"/>
            </w:pPr>
            <w:r>
              <w:rPr>
                <w:rFonts w:ascii="仿宋_GB2312" w:hAnsi="仿宋_GB2312" w:cs="仿宋_GB2312" w:eastAsia="仿宋_GB2312"/>
              </w:rPr>
              <w:t>36</w:t>
            </w:r>
          </w:p>
        </w:tc>
        <w:tc>
          <w:tcPr>
            <w:tcW w:type="dxa" w:w="2076"/>
          </w:tcPr>
          <w:p/>
        </w:tc>
        <w:tc>
          <w:tcPr>
            <w:tcW w:type="dxa" w:w="2076"/>
          </w:tcPr>
          <w:p>
            <w:pPr>
              <w:pStyle w:val="null5"/>
              <w:jc w:val="left"/>
            </w:pPr>
            <w:r>
              <w:rPr>
                <w:rFonts w:ascii="仿宋_GB2312" w:hAnsi="仿宋_GB2312" w:cs="仿宋_GB2312" w:eastAsia="仿宋_GB2312"/>
              </w:rPr>
              <w:t>质子磁力仪</w:t>
            </w:r>
          </w:p>
        </w:tc>
        <w:tc>
          <w:tcPr>
            <w:tcW w:type="dxa" w:w="2076"/>
          </w:tcPr>
          <w:p>
            <w:pPr>
              <w:pStyle w:val="null5"/>
              <w:jc w:val="left"/>
            </w:pPr>
            <w:r>
              <w:rPr>
                <w:rFonts w:ascii="仿宋_GB2312" w:hAnsi="仿宋_GB2312" w:cs="仿宋_GB2312" w:eastAsia="仿宋_GB2312"/>
                <w:sz w:val="22"/>
              </w:rPr>
              <w:t>6.</w:t>
            </w:r>
            <w:r>
              <w:rPr>
                <w:rFonts w:ascii="仿宋_GB2312" w:hAnsi="仿宋_GB2312" w:cs="仿宋_GB2312" w:eastAsia="仿宋_GB2312"/>
                <w:sz w:val="22"/>
              </w:rPr>
              <w:t>定位系统：内置高精度</w:t>
            </w:r>
            <w:r>
              <w:rPr>
                <w:rFonts w:ascii="仿宋_GB2312" w:hAnsi="仿宋_GB2312" w:cs="仿宋_GB2312" w:eastAsia="仿宋_GB2312"/>
                <w:sz w:val="22"/>
              </w:rPr>
              <w:t>GPS</w:t>
            </w:r>
            <w:r>
              <w:rPr>
                <w:rFonts w:ascii="仿宋_GB2312" w:hAnsi="仿宋_GB2312" w:cs="仿宋_GB2312" w:eastAsia="仿宋_GB2312"/>
                <w:sz w:val="22"/>
              </w:rPr>
              <w:t>模块，单点定位精度≤</w:t>
            </w:r>
            <w:r>
              <w:rPr>
                <w:rFonts w:ascii="仿宋_GB2312" w:hAnsi="仿宋_GB2312" w:cs="仿宋_GB2312" w:eastAsia="仿宋_GB2312"/>
                <w:sz w:val="22"/>
              </w:rPr>
              <w:t>10m</w:t>
            </w:r>
            <w:r>
              <w:rPr>
                <w:rFonts w:ascii="仿宋_GB2312" w:hAnsi="仿宋_GB2312" w:cs="仿宋_GB2312" w:eastAsia="仿宋_GB2312"/>
                <w:sz w:val="22"/>
              </w:rPr>
              <w:t>；支持测点坐标自动记录与测量航迹显示。</w:t>
            </w:r>
          </w:p>
        </w:tc>
      </w:tr>
      <w:tr>
        <w:tc>
          <w:tcPr>
            <w:tcW w:type="dxa" w:w="2076"/>
          </w:tcPr>
          <w:p>
            <w:pPr>
              <w:pStyle w:val="null5"/>
              <w:jc w:val="left"/>
            </w:pPr>
            <w:r>
              <w:rPr>
                <w:rFonts w:ascii="仿宋_GB2312" w:hAnsi="仿宋_GB2312" w:cs="仿宋_GB2312" w:eastAsia="仿宋_GB2312"/>
              </w:rPr>
              <w:t>37</w:t>
            </w:r>
          </w:p>
        </w:tc>
        <w:tc>
          <w:tcPr>
            <w:tcW w:type="dxa" w:w="2076"/>
          </w:tcPr>
          <w:p/>
        </w:tc>
        <w:tc>
          <w:tcPr>
            <w:tcW w:type="dxa" w:w="2076"/>
          </w:tcPr>
          <w:p>
            <w:pPr>
              <w:pStyle w:val="null5"/>
              <w:jc w:val="left"/>
            </w:pPr>
            <w:r>
              <w:rPr>
                <w:rFonts w:ascii="仿宋_GB2312" w:hAnsi="仿宋_GB2312" w:cs="仿宋_GB2312" w:eastAsia="仿宋_GB2312"/>
              </w:rPr>
              <w:t>质子磁力仪</w:t>
            </w:r>
          </w:p>
        </w:tc>
        <w:tc>
          <w:tcPr>
            <w:tcW w:type="dxa" w:w="2076"/>
          </w:tcPr>
          <w:p>
            <w:pPr>
              <w:pStyle w:val="null5"/>
              <w:jc w:val="left"/>
            </w:pPr>
            <w:r>
              <w:rPr>
                <w:rFonts w:ascii="仿宋_GB2312" w:hAnsi="仿宋_GB2312" w:cs="仿宋_GB2312" w:eastAsia="仿宋_GB2312"/>
                <w:sz w:val="22"/>
              </w:rPr>
              <w:t>7.</w:t>
            </w:r>
            <w:r>
              <w:rPr>
                <w:rFonts w:ascii="仿宋_GB2312" w:hAnsi="仿宋_GB2312" w:cs="仿宋_GB2312" w:eastAsia="仿宋_GB2312"/>
                <w:sz w:val="22"/>
              </w:rPr>
              <w:t>调谐方式：自动调谐与手动调谐双模式；调谐范围宽，可适应不同纬度地区地磁场差异。</w:t>
            </w:r>
          </w:p>
        </w:tc>
      </w:tr>
      <w:tr>
        <w:tc>
          <w:tcPr>
            <w:tcW w:type="dxa" w:w="2076"/>
          </w:tcPr>
          <w:p>
            <w:pPr>
              <w:pStyle w:val="null5"/>
              <w:jc w:val="left"/>
            </w:pPr>
            <w:r>
              <w:rPr>
                <w:rFonts w:ascii="仿宋_GB2312" w:hAnsi="仿宋_GB2312" w:cs="仿宋_GB2312" w:eastAsia="仿宋_GB2312"/>
              </w:rPr>
              <w:t>38</w:t>
            </w:r>
          </w:p>
        </w:tc>
        <w:tc>
          <w:tcPr>
            <w:tcW w:type="dxa" w:w="2076"/>
          </w:tcPr>
          <w:p/>
        </w:tc>
        <w:tc>
          <w:tcPr>
            <w:tcW w:type="dxa" w:w="2076"/>
          </w:tcPr>
          <w:p>
            <w:pPr>
              <w:pStyle w:val="null5"/>
              <w:jc w:val="left"/>
            </w:pPr>
            <w:r>
              <w:rPr>
                <w:rFonts w:ascii="仿宋_GB2312" w:hAnsi="仿宋_GB2312" w:cs="仿宋_GB2312" w:eastAsia="仿宋_GB2312"/>
              </w:rPr>
              <w:t>质子磁力仪</w:t>
            </w:r>
          </w:p>
        </w:tc>
        <w:tc>
          <w:tcPr>
            <w:tcW w:type="dxa" w:w="2076"/>
          </w:tcPr>
          <w:p>
            <w:pPr>
              <w:pStyle w:val="null5"/>
              <w:jc w:val="left"/>
            </w:pPr>
            <w:r>
              <w:rPr>
                <w:rFonts w:ascii="仿宋_GB2312" w:hAnsi="仿宋_GB2312" w:cs="仿宋_GB2312" w:eastAsia="仿宋_GB2312"/>
                <w:sz w:val="22"/>
              </w:rPr>
              <w:t>8.</w:t>
            </w:r>
            <w:r>
              <w:rPr>
                <w:rFonts w:ascii="仿宋_GB2312" w:hAnsi="仿宋_GB2312" w:cs="仿宋_GB2312" w:eastAsia="仿宋_GB2312"/>
                <w:sz w:val="22"/>
              </w:rPr>
              <w:t>数据存储：内置存储空间≥</w:t>
            </w:r>
            <w:r>
              <w:rPr>
                <w:rFonts w:ascii="仿宋_GB2312" w:hAnsi="仿宋_GB2312" w:cs="仿宋_GB2312" w:eastAsia="仿宋_GB2312"/>
                <w:sz w:val="22"/>
              </w:rPr>
              <w:t>8GB</w:t>
            </w:r>
            <w:r>
              <w:rPr>
                <w:rFonts w:ascii="仿宋_GB2312" w:hAnsi="仿宋_GB2312" w:cs="仿宋_GB2312" w:eastAsia="仿宋_GB2312"/>
                <w:sz w:val="22"/>
              </w:rPr>
              <w:t>，可存储不少于</w:t>
            </w:r>
            <w:r>
              <w:rPr>
                <w:rFonts w:ascii="仿宋_GB2312" w:hAnsi="仿宋_GB2312" w:cs="仿宋_GB2312" w:eastAsia="仿宋_GB2312"/>
                <w:sz w:val="22"/>
              </w:rPr>
              <w:t>100</w:t>
            </w:r>
            <w:r>
              <w:rPr>
                <w:rFonts w:ascii="仿宋_GB2312" w:hAnsi="仿宋_GB2312" w:cs="仿宋_GB2312" w:eastAsia="仿宋_GB2312"/>
                <w:sz w:val="22"/>
              </w:rPr>
              <w:t>万组测量数据；支持</w:t>
            </w:r>
            <w:r>
              <w:rPr>
                <w:rFonts w:ascii="仿宋_GB2312" w:hAnsi="仿宋_GB2312" w:cs="仿宋_GB2312" w:eastAsia="仿宋_GB2312"/>
                <w:sz w:val="22"/>
              </w:rPr>
              <w:t>USB</w:t>
            </w:r>
            <w:r>
              <w:rPr>
                <w:rFonts w:ascii="仿宋_GB2312" w:hAnsi="仿宋_GB2312" w:cs="仿宋_GB2312" w:eastAsia="仿宋_GB2312"/>
                <w:sz w:val="22"/>
              </w:rPr>
              <w:t>接口数据导出。</w:t>
            </w:r>
          </w:p>
        </w:tc>
      </w:tr>
      <w:tr>
        <w:tc>
          <w:tcPr>
            <w:tcW w:type="dxa" w:w="2076"/>
          </w:tcPr>
          <w:p>
            <w:pPr>
              <w:pStyle w:val="null5"/>
              <w:jc w:val="left"/>
            </w:pPr>
            <w:r>
              <w:rPr>
                <w:rFonts w:ascii="仿宋_GB2312" w:hAnsi="仿宋_GB2312" w:cs="仿宋_GB2312" w:eastAsia="仿宋_GB2312"/>
              </w:rPr>
              <w:t>39</w:t>
            </w:r>
          </w:p>
        </w:tc>
        <w:tc>
          <w:tcPr>
            <w:tcW w:type="dxa" w:w="2076"/>
          </w:tcPr>
          <w:p/>
        </w:tc>
        <w:tc>
          <w:tcPr>
            <w:tcW w:type="dxa" w:w="2076"/>
          </w:tcPr>
          <w:p>
            <w:pPr>
              <w:pStyle w:val="null5"/>
              <w:jc w:val="left"/>
            </w:pPr>
            <w:r>
              <w:rPr>
                <w:rFonts w:ascii="仿宋_GB2312" w:hAnsi="仿宋_GB2312" w:cs="仿宋_GB2312" w:eastAsia="仿宋_GB2312"/>
              </w:rPr>
              <w:t>质子磁力仪</w:t>
            </w:r>
          </w:p>
        </w:tc>
        <w:tc>
          <w:tcPr>
            <w:tcW w:type="dxa" w:w="2076"/>
          </w:tcPr>
          <w:p>
            <w:pPr>
              <w:pStyle w:val="null5"/>
              <w:jc w:val="left"/>
            </w:pPr>
            <w:r>
              <w:rPr>
                <w:rFonts w:ascii="仿宋_GB2312" w:hAnsi="仿宋_GB2312" w:cs="仿宋_GB2312" w:eastAsia="仿宋_GB2312"/>
                <w:sz w:val="22"/>
              </w:rPr>
              <w:t>9.</w:t>
            </w:r>
            <w:r>
              <w:rPr>
                <w:rFonts w:ascii="仿宋_GB2312" w:hAnsi="仿宋_GB2312" w:cs="仿宋_GB2312" w:eastAsia="仿宋_GB2312"/>
                <w:sz w:val="22"/>
              </w:rPr>
              <w:t>数据处理软件：标配专业数据处理软件，具备日变校正、移动滑动平均滤波、异常坏点剔除、重复测点均值计算、仪器噪声统计、剖面成图、等值线绘制、航迹导出、</w:t>
            </w:r>
            <w:r>
              <w:rPr>
                <w:rFonts w:ascii="仿宋_GB2312" w:hAnsi="仿宋_GB2312" w:cs="仿宋_GB2312" w:eastAsia="仿宋_GB2312"/>
                <w:sz w:val="22"/>
              </w:rPr>
              <w:t>GPS</w:t>
            </w:r>
            <w:r>
              <w:rPr>
                <w:rFonts w:ascii="仿宋_GB2312" w:hAnsi="仿宋_GB2312" w:cs="仿宋_GB2312" w:eastAsia="仿宋_GB2312"/>
                <w:sz w:val="22"/>
              </w:rPr>
              <w:t>格式转换等功能。</w:t>
            </w:r>
          </w:p>
        </w:tc>
      </w:tr>
      <w:tr>
        <w:tc>
          <w:tcPr>
            <w:tcW w:type="dxa" w:w="2076"/>
          </w:tcPr>
          <w:p>
            <w:pPr>
              <w:pStyle w:val="null5"/>
              <w:jc w:val="left"/>
            </w:pPr>
            <w:r>
              <w:rPr>
                <w:rFonts w:ascii="仿宋_GB2312" w:hAnsi="仿宋_GB2312" w:cs="仿宋_GB2312" w:eastAsia="仿宋_GB2312"/>
              </w:rPr>
              <w:t>40</w:t>
            </w:r>
          </w:p>
        </w:tc>
        <w:tc>
          <w:tcPr>
            <w:tcW w:type="dxa" w:w="2076"/>
          </w:tcPr>
          <w:p/>
        </w:tc>
        <w:tc>
          <w:tcPr>
            <w:tcW w:type="dxa" w:w="2076"/>
          </w:tcPr>
          <w:p>
            <w:pPr>
              <w:pStyle w:val="null5"/>
              <w:jc w:val="left"/>
            </w:pPr>
            <w:r>
              <w:rPr>
                <w:rFonts w:ascii="仿宋_GB2312" w:hAnsi="仿宋_GB2312" w:cs="仿宋_GB2312" w:eastAsia="仿宋_GB2312"/>
              </w:rPr>
              <w:t>质子磁力仪</w:t>
            </w:r>
          </w:p>
        </w:tc>
        <w:tc>
          <w:tcPr>
            <w:tcW w:type="dxa" w:w="2076"/>
          </w:tcPr>
          <w:p>
            <w:pPr>
              <w:pStyle w:val="null5"/>
              <w:jc w:val="left"/>
            </w:pPr>
            <w:r>
              <w:rPr>
                <w:rFonts w:ascii="仿宋_GB2312" w:hAnsi="仿宋_GB2312" w:cs="仿宋_GB2312" w:eastAsia="仿宋_GB2312"/>
                <w:sz w:val="22"/>
              </w:rPr>
              <w:t>10.</w:t>
            </w:r>
            <w:r>
              <w:rPr>
                <w:rFonts w:ascii="仿宋_GB2312" w:hAnsi="仿宋_GB2312" w:cs="仿宋_GB2312" w:eastAsia="仿宋_GB2312"/>
                <w:sz w:val="22"/>
              </w:rPr>
              <w:t>扩展功能：仪器输出数据格式兼容主流物探联合反演软件；支持多种观测阵列数据导入与处理，可用于被动源频散拾取与反演教学。</w:t>
            </w:r>
          </w:p>
        </w:tc>
      </w:tr>
      <w:tr>
        <w:tc>
          <w:tcPr>
            <w:tcW w:type="dxa" w:w="2076"/>
          </w:tcPr>
          <w:p>
            <w:pPr>
              <w:pStyle w:val="null5"/>
              <w:jc w:val="left"/>
            </w:pPr>
            <w:r>
              <w:rPr>
                <w:rFonts w:ascii="仿宋_GB2312" w:hAnsi="仿宋_GB2312" w:cs="仿宋_GB2312" w:eastAsia="仿宋_GB2312"/>
              </w:rPr>
              <w:t>41</w:t>
            </w:r>
          </w:p>
        </w:tc>
        <w:tc>
          <w:tcPr>
            <w:tcW w:type="dxa" w:w="2076"/>
          </w:tcPr>
          <w:p/>
        </w:tc>
        <w:tc>
          <w:tcPr>
            <w:tcW w:type="dxa" w:w="2076"/>
          </w:tcPr>
          <w:p>
            <w:pPr>
              <w:pStyle w:val="null5"/>
              <w:jc w:val="left"/>
            </w:pPr>
            <w:r>
              <w:rPr>
                <w:rFonts w:ascii="仿宋_GB2312" w:hAnsi="仿宋_GB2312" w:cs="仿宋_GB2312" w:eastAsia="仿宋_GB2312"/>
              </w:rPr>
              <w:t>质子磁力仪</w:t>
            </w:r>
          </w:p>
        </w:tc>
        <w:tc>
          <w:tcPr>
            <w:tcW w:type="dxa" w:w="2076"/>
          </w:tcPr>
          <w:p>
            <w:pPr>
              <w:pStyle w:val="null5"/>
              <w:jc w:val="left"/>
            </w:pPr>
            <w:r>
              <w:rPr>
                <w:rFonts w:ascii="仿宋_GB2312" w:hAnsi="仿宋_GB2312" w:cs="仿宋_GB2312" w:eastAsia="仿宋_GB2312"/>
                <w:sz w:val="22"/>
              </w:rPr>
              <w:t>11.</w:t>
            </w:r>
            <w:r>
              <w:rPr>
                <w:rFonts w:ascii="仿宋_GB2312" w:hAnsi="仿宋_GB2312" w:cs="仿宋_GB2312" w:eastAsia="仿宋_GB2312"/>
                <w:sz w:val="22"/>
              </w:rPr>
              <w:t>物理特性：配备不小于</w:t>
            </w:r>
            <w:r>
              <w:rPr>
                <w:rFonts w:ascii="仿宋_GB2312" w:hAnsi="仿宋_GB2312" w:cs="仿宋_GB2312" w:eastAsia="仿宋_GB2312"/>
                <w:sz w:val="22"/>
              </w:rPr>
              <w:t>3.5</w:t>
            </w:r>
            <w:r>
              <w:rPr>
                <w:rFonts w:ascii="仿宋_GB2312" w:hAnsi="仿宋_GB2312" w:cs="仿宋_GB2312" w:eastAsia="仿宋_GB2312"/>
                <w:sz w:val="22"/>
              </w:rPr>
              <w:t>英寸彩色液晶屏，中文操作界面；支持按键操作，户外强光环境清晰可读；重量：探头：</w:t>
            </w:r>
            <w:r>
              <w:rPr>
                <w:rFonts w:ascii="仿宋_GB2312" w:hAnsi="仿宋_GB2312" w:cs="仿宋_GB2312" w:eastAsia="仿宋_GB2312"/>
                <w:sz w:val="22"/>
              </w:rPr>
              <w:t>0.8Kg</w:t>
            </w:r>
            <w:r>
              <w:rPr>
                <w:rFonts w:ascii="仿宋_GB2312" w:hAnsi="仿宋_GB2312" w:cs="仿宋_GB2312" w:eastAsia="仿宋_GB2312"/>
                <w:sz w:val="22"/>
              </w:rPr>
              <w:t>；主机：</w:t>
            </w:r>
            <w:r>
              <w:rPr>
                <w:rFonts w:ascii="仿宋_GB2312" w:hAnsi="仿宋_GB2312" w:cs="仿宋_GB2312" w:eastAsia="仿宋_GB2312"/>
                <w:sz w:val="22"/>
              </w:rPr>
              <w:t>1.9Kg</w:t>
            </w:r>
            <w:r>
              <w:rPr>
                <w:rFonts w:ascii="仿宋_GB2312" w:hAnsi="仿宋_GB2312" w:cs="仿宋_GB2312" w:eastAsia="仿宋_GB2312"/>
                <w:sz w:val="22"/>
              </w:rPr>
              <w:t>（含电池）</w:t>
            </w:r>
          </w:p>
        </w:tc>
      </w:tr>
      <w:tr>
        <w:tc>
          <w:tcPr>
            <w:tcW w:type="dxa" w:w="2076"/>
          </w:tcPr>
          <w:p>
            <w:pPr>
              <w:pStyle w:val="null5"/>
              <w:jc w:val="left"/>
            </w:pPr>
            <w:r>
              <w:rPr>
                <w:rFonts w:ascii="仿宋_GB2312" w:hAnsi="仿宋_GB2312" w:cs="仿宋_GB2312" w:eastAsia="仿宋_GB2312"/>
              </w:rPr>
              <w:t>42</w:t>
            </w:r>
          </w:p>
        </w:tc>
        <w:tc>
          <w:tcPr>
            <w:tcW w:type="dxa" w:w="2076"/>
          </w:tcPr>
          <w:p/>
        </w:tc>
        <w:tc>
          <w:tcPr>
            <w:tcW w:type="dxa" w:w="2076"/>
          </w:tcPr>
          <w:p>
            <w:pPr>
              <w:pStyle w:val="null5"/>
              <w:jc w:val="left"/>
            </w:pPr>
            <w:r>
              <w:rPr>
                <w:rFonts w:ascii="仿宋_GB2312" w:hAnsi="仿宋_GB2312" w:cs="仿宋_GB2312" w:eastAsia="仿宋_GB2312"/>
              </w:rPr>
              <w:t>质子磁力仪</w:t>
            </w:r>
          </w:p>
        </w:tc>
        <w:tc>
          <w:tcPr>
            <w:tcW w:type="dxa" w:w="2076"/>
          </w:tcPr>
          <w:p>
            <w:pPr>
              <w:pStyle w:val="null5"/>
              <w:jc w:val="left"/>
            </w:pPr>
            <w:r>
              <w:rPr>
                <w:rFonts w:ascii="仿宋_GB2312" w:hAnsi="仿宋_GB2312" w:cs="仿宋_GB2312" w:eastAsia="仿宋_GB2312"/>
                <w:sz w:val="22"/>
              </w:rPr>
              <w:t>12.</w:t>
            </w:r>
            <w:r>
              <w:rPr>
                <w:rFonts w:ascii="仿宋_GB2312" w:hAnsi="仿宋_GB2312" w:cs="仿宋_GB2312" w:eastAsia="仿宋_GB2312"/>
                <w:sz w:val="22"/>
              </w:rPr>
              <w:t>电源续航：</w:t>
            </w:r>
            <w:r>
              <w:rPr>
                <w:rFonts w:ascii="仿宋_GB2312" w:hAnsi="仿宋_GB2312" w:cs="仿宋_GB2312" w:eastAsia="仿宋_GB2312"/>
                <w:sz w:val="22"/>
              </w:rPr>
              <w:t>14.8V</w:t>
            </w:r>
            <w:r>
              <w:rPr>
                <w:rFonts w:ascii="仿宋_GB2312" w:hAnsi="仿宋_GB2312" w:cs="仿宋_GB2312" w:eastAsia="仿宋_GB2312"/>
                <w:sz w:val="22"/>
              </w:rPr>
              <w:t>，</w:t>
            </w:r>
            <w:r>
              <w:rPr>
                <w:rFonts w:ascii="仿宋_GB2312" w:hAnsi="仿宋_GB2312" w:cs="仿宋_GB2312" w:eastAsia="仿宋_GB2312"/>
                <w:sz w:val="22"/>
              </w:rPr>
              <w:t>6Ah</w:t>
            </w:r>
            <w:r>
              <w:rPr>
                <w:rFonts w:ascii="仿宋_GB2312" w:hAnsi="仿宋_GB2312" w:cs="仿宋_GB2312" w:eastAsia="仿宋_GB2312"/>
                <w:sz w:val="22"/>
              </w:rPr>
              <w:t>无磁锂电池，可选配外置</w:t>
            </w:r>
            <w:r>
              <w:rPr>
                <w:rFonts w:ascii="仿宋_GB2312" w:hAnsi="仿宋_GB2312" w:cs="仿宋_GB2312" w:eastAsia="仿宋_GB2312"/>
                <w:sz w:val="22"/>
              </w:rPr>
              <w:t>12V</w:t>
            </w:r>
            <w:r>
              <w:rPr>
                <w:rFonts w:ascii="仿宋_GB2312" w:hAnsi="仿宋_GB2312" w:cs="仿宋_GB2312" w:eastAsia="仿宋_GB2312"/>
                <w:sz w:val="22"/>
              </w:rPr>
              <w:t>，</w:t>
            </w:r>
            <w:r>
              <w:rPr>
                <w:rFonts w:ascii="仿宋_GB2312" w:hAnsi="仿宋_GB2312" w:cs="仿宋_GB2312" w:eastAsia="仿宋_GB2312"/>
                <w:sz w:val="22"/>
              </w:rPr>
              <w:t>12Ah</w:t>
            </w:r>
            <w:r>
              <w:rPr>
                <w:rFonts w:ascii="仿宋_GB2312" w:hAnsi="仿宋_GB2312" w:cs="仿宋_GB2312" w:eastAsia="仿宋_GB2312"/>
                <w:sz w:val="22"/>
              </w:rPr>
              <w:t>常规锂电池，进行日变站工作。</w:t>
            </w:r>
          </w:p>
        </w:tc>
      </w:tr>
      <w:tr>
        <w:tc>
          <w:tcPr>
            <w:tcW w:type="dxa" w:w="2076"/>
          </w:tcPr>
          <w:p>
            <w:pPr>
              <w:pStyle w:val="null5"/>
              <w:jc w:val="left"/>
            </w:pPr>
            <w:r>
              <w:rPr>
                <w:rFonts w:ascii="仿宋_GB2312" w:hAnsi="仿宋_GB2312" w:cs="仿宋_GB2312" w:eastAsia="仿宋_GB2312"/>
              </w:rPr>
              <w:t>43</w:t>
            </w:r>
          </w:p>
        </w:tc>
        <w:tc>
          <w:tcPr>
            <w:tcW w:type="dxa" w:w="2076"/>
          </w:tcPr>
          <w:p/>
        </w:tc>
        <w:tc>
          <w:tcPr>
            <w:tcW w:type="dxa" w:w="2076"/>
          </w:tcPr>
          <w:p>
            <w:pPr>
              <w:pStyle w:val="null5"/>
              <w:jc w:val="left"/>
            </w:pPr>
            <w:r>
              <w:rPr>
                <w:rFonts w:ascii="仿宋_GB2312" w:hAnsi="仿宋_GB2312" w:cs="仿宋_GB2312" w:eastAsia="仿宋_GB2312"/>
              </w:rPr>
              <w:t>质子磁力仪</w:t>
            </w:r>
          </w:p>
        </w:tc>
        <w:tc>
          <w:tcPr>
            <w:tcW w:type="dxa" w:w="2076"/>
          </w:tcPr>
          <w:p>
            <w:pPr>
              <w:pStyle w:val="null5"/>
              <w:jc w:val="left"/>
            </w:pPr>
            <w:r>
              <w:rPr>
                <w:rFonts w:ascii="仿宋_GB2312" w:hAnsi="仿宋_GB2312" w:cs="仿宋_GB2312" w:eastAsia="仿宋_GB2312"/>
                <w:sz w:val="22"/>
              </w:rPr>
              <w:t>13.</w:t>
            </w:r>
            <w:r>
              <w:rPr>
                <w:rFonts w:ascii="仿宋_GB2312" w:hAnsi="仿宋_GB2312" w:cs="仿宋_GB2312" w:eastAsia="仿宋_GB2312"/>
                <w:sz w:val="22"/>
              </w:rPr>
              <w:t>环境适应性：工作温度范围</w:t>
            </w:r>
            <w:r>
              <w:rPr>
                <w:rFonts w:ascii="仿宋_GB2312" w:hAnsi="仿宋_GB2312" w:cs="仿宋_GB2312" w:eastAsia="仿宋_GB2312"/>
                <w:sz w:val="22"/>
              </w:rPr>
              <w:t>-10</w:t>
            </w:r>
            <w:r>
              <w:rPr>
                <w:rFonts w:ascii="仿宋_GB2312" w:hAnsi="仿宋_GB2312" w:cs="仿宋_GB2312" w:eastAsia="仿宋_GB2312"/>
                <w:sz w:val="22"/>
              </w:rPr>
              <w:t>℃</w:t>
            </w:r>
            <w:r>
              <w:rPr>
                <w:rFonts w:ascii="仿宋_GB2312" w:hAnsi="仿宋_GB2312" w:cs="仿宋_GB2312" w:eastAsia="仿宋_GB2312"/>
                <w:sz w:val="22"/>
              </w:rPr>
              <w:t>~+50</w:t>
            </w:r>
            <w:r>
              <w:rPr>
                <w:rFonts w:ascii="仿宋_GB2312" w:hAnsi="仿宋_GB2312" w:cs="仿宋_GB2312" w:eastAsia="仿宋_GB2312"/>
                <w:sz w:val="22"/>
              </w:rPr>
              <w:t>℃；存储温度范围</w:t>
            </w:r>
            <w:r>
              <w:rPr>
                <w:rFonts w:ascii="仿宋_GB2312" w:hAnsi="仿宋_GB2312" w:cs="仿宋_GB2312" w:eastAsia="仿宋_GB2312"/>
                <w:sz w:val="22"/>
              </w:rPr>
              <w:t>-20</w:t>
            </w:r>
            <w:r>
              <w:rPr>
                <w:rFonts w:ascii="仿宋_GB2312" w:hAnsi="仿宋_GB2312" w:cs="仿宋_GB2312" w:eastAsia="仿宋_GB2312"/>
                <w:sz w:val="22"/>
              </w:rPr>
              <w:t>℃</w:t>
            </w:r>
            <w:r>
              <w:rPr>
                <w:rFonts w:ascii="仿宋_GB2312" w:hAnsi="仿宋_GB2312" w:cs="仿宋_GB2312" w:eastAsia="仿宋_GB2312"/>
                <w:sz w:val="22"/>
              </w:rPr>
              <w:t>~+60</w:t>
            </w:r>
            <w:r>
              <w:rPr>
                <w:rFonts w:ascii="仿宋_GB2312" w:hAnsi="仿宋_GB2312" w:cs="仿宋_GB2312" w:eastAsia="仿宋_GB2312"/>
                <w:sz w:val="22"/>
              </w:rPr>
              <w:t>℃；相对湿度</w:t>
            </w:r>
            <w:r>
              <w:rPr>
                <w:rFonts w:ascii="仿宋_GB2312" w:hAnsi="仿宋_GB2312" w:cs="仿宋_GB2312" w:eastAsia="仿宋_GB2312"/>
                <w:sz w:val="22"/>
              </w:rPr>
              <w:t>5%~95%</w:t>
            </w:r>
            <w:r>
              <w:rPr>
                <w:rFonts w:ascii="仿宋_GB2312" w:hAnsi="仿宋_GB2312" w:cs="仿宋_GB2312" w:eastAsia="仿宋_GB2312"/>
                <w:sz w:val="22"/>
              </w:rPr>
              <w:t>（无冷凝）；主机防护等级不低于</w:t>
            </w:r>
            <w:r>
              <w:rPr>
                <w:rFonts w:ascii="仿宋_GB2312" w:hAnsi="仿宋_GB2312" w:cs="仿宋_GB2312" w:eastAsia="仿宋_GB2312"/>
                <w:sz w:val="22"/>
              </w:rPr>
              <w:t>IP54</w:t>
            </w:r>
            <w:r>
              <w:rPr>
                <w:rFonts w:ascii="仿宋_GB2312" w:hAnsi="仿宋_GB2312" w:cs="仿宋_GB2312" w:eastAsia="仿宋_GB2312"/>
                <w:sz w:val="22"/>
              </w:rPr>
              <w:t>。</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left"/>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后续服务</w:t>
            </w:r>
          </w:p>
        </w:tc>
        <w:tc>
          <w:tcPr>
            <w:tcW w:type="dxa" w:w="4153"/>
          </w:tcPr>
          <w:p>
            <w:pPr>
              <w:pStyle w:val="null5"/>
              <w:jc w:val="left"/>
            </w:pPr>
            <w:r>
              <w:rPr>
                <w:rFonts w:ascii="仿宋_GB2312" w:hAnsi="仿宋_GB2312" w:cs="仿宋_GB2312" w:eastAsia="仿宋_GB2312"/>
              </w:rPr>
              <w:t>1.质保期满后，供应商需免费提供终身技术咨询服务，随时解答设备操作、日常巡检、故障判断、保养常识等相关技术问题，全程不收取任何咨询费用。 2.价格锁定机制、期限及调整规则：2.1本项目投标报价为固定综合单价，投标报价一经中标确定，合同履行期内实行价格锁定，除本文件约定调价情形外，供应商不得以原材料涨价、人工上调、市场波动、运输费用变化等任何理由提出价格上调申请。2.2专⽤耗材价格应包含材料费、加⼯费、包装费、运输费、税⾦等全部费⽤，为运抵采购⼈指定地点的综合交货价。供应商应保证所报专⽤耗材价格真实合理，不得以低价成交后通过耗材⾼价牟利。2.3专用耗材、维修配件、维保服务价格：价格锁定有效期⾃本项⽬质保期满之⽇起3年。供应商应按照响应⽂件中承诺的专⽤耗材单价向采购⼈供应所需耗材。价格锁定要求：在锁定期限内，专⽤耗材价格不得上调，供应商不得以原材料价格上涨、市场环境变化等任何理由要求调⾼价格。</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设备供货要求</w:t>
            </w:r>
          </w:p>
        </w:tc>
        <w:tc>
          <w:tcPr>
            <w:tcW w:type="dxa" w:w="4153"/>
          </w:tcPr>
          <w:p>
            <w:pPr>
              <w:pStyle w:val="null5"/>
              <w:jc w:val="left"/>
            </w:pPr>
            <w:r>
              <w:rPr>
                <w:rFonts w:ascii="仿宋_GB2312" w:hAnsi="仿宋_GB2312" w:cs="仿宋_GB2312" w:eastAsia="仿宋_GB2312"/>
              </w:rPr>
              <w:t>供应商必须严格按合同所规定的技术指标供货，货物符合规定名称、型号规格、数量或重量等。</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包装要求</w:t>
            </w:r>
          </w:p>
        </w:tc>
        <w:tc>
          <w:tcPr>
            <w:tcW w:type="dxa" w:w="4153"/>
          </w:tcPr>
          <w:p>
            <w:pPr>
              <w:pStyle w:val="null5"/>
              <w:jc w:val="left"/>
            </w:pPr>
            <w:r>
              <w:rPr>
                <w:rFonts w:ascii="仿宋_GB2312" w:hAnsi="仿宋_GB2312" w:cs="仿宋_GB2312" w:eastAsia="仿宋_GB2312"/>
              </w:rPr>
              <w:t>提供的全部货物须采用适当的保护措施进行包装并符合相应的包装标准。同时包装应适于长途运输，并有良好的防潮、防震、防锈和防野蛮装卸等保护措施，以确保货物安全运抵现场。</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质量保证</w:t>
            </w:r>
          </w:p>
        </w:tc>
        <w:tc>
          <w:tcPr>
            <w:tcW w:type="dxa" w:w="4153"/>
          </w:tcPr>
          <w:p>
            <w:pPr>
              <w:pStyle w:val="null5"/>
              <w:jc w:val="left"/>
            </w:pPr>
            <w:r>
              <w:rPr>
                <w:rFonts w:ascii="仿宋_GB2312" w:hAnsi="仿宋_GB2312" w:cs="仿宋_GB2312" w:eastAsia="仿宋_GB2312"/>
              </w:rPr>
              <w:t>货物是销售的全新、原产地、原包装、手续合法完整、渠道正规的产品，完全符合合同规定质量、规格和性能的要求。如发现货物有其它潜在缺陷及供应商使用了不符合标准要求或不符合投标书承诺的原材料、零部件、外购件，采购人有权退货或向供应商索赔。</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技术文件</w:t>
            </w:r>
          </w:p>
        </w:tc>
        <w:tc>
          <w:tcPr>
            <w:tcW w:type="dxa" w:w="4153"/>
          </w:tcPr>
          <w:p>
            <w:pPr>
              <w:pStyle w:val="null5"/>
              <w:jc w:val="left"/>
            </w:pPr>
            <w:r>
              <w:rPr>
                <w:rFonts w:ascii="仿宋_GB2312" w:hAnsi="仿宋_GB2312" w:cs="仿宋_GB2312" w:eastAsia="仿宋_GB2312"/>
              </w:rPr>
              <w:t>1.成交供应商应提供货物的备品备件手册、使用手册、安装使用指南、维护维修及保养说明书或服务手册； 2.货物的合格证、保修卡等； 3.设备的详细介绍资料； 4.提供生产厂家确认的证明材料（包括但不限于测试报告、官网和功能截图等）；</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设备安装调试要求</w:t>
            </w:r>
          </w:p>
        </w:tc>
        <w:tc>
          <w:tcPr>
            <w:tcW w:type="dxa" w:w="4153"/>
          </w:tcPr>
          <w:p>
            <w:pPr>
              <w:pStyle w:val="null5"/>
              <w:jc w:val="left"/>
            </w:pPr>
            <w:r>
              <w:rPr>
                <w:rFonts w:ascii="仿宋_GB2312" w:hAnsi="仿宋_GB2312" w:cs="仿宋_GB2312" w:eastAsia="仿宋_GB2312"/>
              </w:rPr>
              <w:t>1.供应商负责提供设备的运输、安装、调试、调换直至设备运行符合要求，产生的费用均由供应商承担。 2.在仪器安装调试验收过程中，供应商的安装工程师免费对用户操作人员进行基本培训，培训内容包括仪器结构介绍、操作软件使用、仪器操作使用、简单制样操作、智能附件及消耗品更换、日常保养及维护等。</w:t>
            </w:r>
          </w:p>
        </w:tc>
      </w:tr>
      <w:tr>
        <w:tc>
          <w:tcPr>
            <w:tcW w:type="dxa" w:w="1038"/>
          </w:tcPr>
          <w:p>
            <w:pPr>
              <w:pStyle w:val="null5"/>
              <w:jc w:val="left"/>
            </w:pPr>
            <w:r>
              <w:rPr>
                <w:rFonts w:ascii="仿宋_GB2312" w:hAnsi="仿宋_GB2312" w:cs="仿宋_GB2312" w:eastAsia="仿宋_GB2312"/>
              </w:rPr>
              <w:t>7</w:t>
            </w:r>
          </w:p>
        </w:tc>
        <w:tc>
          <w:tcPr>
            <w:tcW w:type="dxa" w:w="3115"/>
          </w:tcPr>
          <w:p>
            <w:pPr>
              <w:pStyle w:val="null5"/>
              <w:jc w:val="left"/>
            </w:pPr>
            <w:r>
              <w:rPr>
                <w:rFonts w:ascii="仿宋_GB2312" w:hAnsi="仿宋_GB2312" w:cs="仿宋_GB2312" w:eastAsia="仿宋_GB2312"/>
              </w:rPr>
              <w:t>设备售后服务要求</w:t>
            </w:r>
          </w:p>
        </w:tc>
        <w:tc>
          <w:tcPr>
            <w:tcW w:type="dxa" w:w="4153"/>
          </w:tcPr>
          <w:p>
            <w:pPr>
              <w:pStyle w:val="null5"/>
              <w:jc w:val="left"/>
            </w:pPr>
            <w:r>
              <w:rPr>
                <w:rFonts w:ascii="仿宋_GB2312" w:hAnsi="仿宋_GB2312" w:cs="仿宋_GB2312" w:eastAsia="仿宋_GB2312"/>
              </w:rPr>
              <w:t>1、设备及产品供货服务 在设备及产品供货时，如出现不正常情况（如设备损坏、故障、达不到良好的效果、达不到技术规范或机器本身说明书的指标），供应商应在不延误项目完成时间的情况下从速免费替换。 2、保修期服务 ①在保修期内发现的由于产品本身的原因造成故障或损坏，供应商应免费修复；无法修复的应免费更换。 ②保修期内，设备及产品的维修、更换专用耗材（设备充电器、电极棒、检波器等）等所需一切支出（包括技术人员旅费等支出）由供应商负责。 3、保修期后服务 保修期后，供应商应对其提供的设备及产品提供终身技术服务，器材维修、更换只向采购人收取材料成本费。 4、供应商提供7×24小时服务热线电话，设备在运行过程中出现故障，成交供应商接到报修通知后，24小时之内赶到现场，48小时内排除故障。</w:t>
            </w:r>
          </w:p>
        </w:tc>
      </w:tr>
      <w:tr>
        <w:tc>
          <w:tcPr>
            <w:tcW w:type="dxa" w:w="1038"/>
          </w:tcPr>
          <w:p>
            <w:pPr>
              <w:pStyle w:val="null5"/>
              <w:jc w:val="left"/>
            </w:pPr>
            <w:r>
              <w:rPr>
                <w:rFonts w:ascii="仿宋_GB2312" w:hAnsi="仿宋_GB2312" w:cs="仿宋_GB2312" w:eastAsia="仿宋_GB2312"/>
              </w:rPr>
              <w:t>8</w:t>
            </w:r>
          </w:p>
        </w:tc>
        <w:tc>
          <w:tcPr>
            <w:tcW w:type="dxa" w:w="3115"/>
          </w:tcPr>
          <w:p>
            <w:pPr>
              <w:pStyle w:val="null5"/>
              <w:jc w:val="left"/>
            </w:pPr>
            <w:r>
              <w:rPr>
                <w:rFonts w:ascii="仿宋_GB2312" w:hAnsi="仿宋_GB2312" w:cs="仿宋_GB2312" w:eastAsia="仿宋_GB2312"/>
              </w:rPr>
              <w:t>其它要求</w:t>
            </w:r>
          </w:p>
        </w:tc>
        <w:tc>
          <w:tcPr>
            <w:tcW w:type="dxa" w:w="4153"/>
          </w:tcPr>
          <w:p>
            <w:pPr>
              <w:pStyle w:val="null5"/>
              <w:jc w:val="left"/>
            </w:pPr>
            <w:r>
              <w:rPr>
                <w:rFonts w:ascii="仿宋_GB2312" w:hAnsi="仿宋_GB2312" w:cs="仿宋_GB2312" w:eastAsia="仿宋_GB2312"/>
              </w:rPr>
              <w:t>1、本项目的成交供应商必须负责全部设备及产品的安装调试，直至达到良好的使用效果。 2、供应商必须书面承诺所供产品均为原厂正品，不得使用任何劣货、假货等产品。</w:t>
            </w:r>
          </w:p>
        </w:tc>
      </w:tr>
    </w:tbl>
    <w:p>
      <w:pPr>
        <w:pStyle w:val="null5"/>
        <w:ind w:firstLine="480"/>
        <w:jc w:val="left"/>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合同签订后30日内完成全部货物的供货、安装、调试和培训工作，符合国家标准、行业规范和合同等相关文件的要求。</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山东石油化工学院指定地点</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合同支付方式：供应商按合同要求供货，设备安装调试完成、验收合格⽆质量问题及其他争议，采购⼈收到供应商发票后付⾄合同⾦额的95%，⼀年后⽆息付清余款。</w:t>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质保期：本项目免费质量保证期要求不低于3年，供应商亦可提报更⻓的质保期。本项目产品的质量质保期为自验收通过之日起，所有产品均需在质保期内免费上门。</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1、本项目共两轮报价，第一轮报价为磋商前基础报价，第二轮报价为磋商后最终报价。 磋商小组与供应商分别进行磋商完成后，通过评标系统向实质性响应的供应商发起最终报价要求，要求所有供应商在规定时间（60分钟）内进行最终报价，提交最终报价的供应商不得少于3家（若供应商未在规定时间（60分钟）内提交最终报价，视为退出磋商）。 2、投标截止时间后，成功提交响应文件的供应商符合磋商文件规定数量的，代理机构将启动响应文件解密程序，解密时间为60分钟；供应商应在规定的解密时间内，使用加密响应文件的数字证书进行响应文件解密。除因平台系统故障导致供应商未按时完成解密外，供应商未在规定的解密时间内完成解密的，按无效投标处理。 3、报价相关要求：本项目报价为含税全包价，包含完成全部供货所需全部成本，采购人不再另行付其他费用；供应商仅能提供一套固定报价，不得设置多套备选报价；评审中报价经修正的，供应商须按要求电子签章确认，逾期未确认按无效响应处理；报价应客观合理，触发异常低价审查时须提供成本相关佐证材料，无法说明合理性的作无效响应处理。 ：</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磋商过程中可实质性变动的内容</w:t>
      </w:r>
    </w:p>
    <w:p>
      <w:pPr>
        <w:pStyle w:val="null5"/>
        <w:ind w:firstLine="480"/>
        <w:jc w:val="left"/>
      </w:pPr>
      <w:r>
        <w:rPr>
          <w:rFonts w:ascii="仿宋_GB2312" w:hAnsi="仿宋_GB2312" w:cs="仿宋_GB2312" w:eastAsia="仿宋_GB2312"/>
        </w:rPr>
        <w:t>磋商小组可以根据磋商文件和磋商情况实质性变动以下内容：</w:t>
      </w:r>
    </w:p>
    <w:p>
      <w:pPr>
        <w:pStyle w:val="null5"/>
        <w:ind w:firstLine="480"/>
        <w:jc w:val="left"/>
      </w:pPr>
      <w:r>
        <w:rPr>
          <w:rFonts w:ascii="仿宋_GB2312" w:hAnsi="仿宋_GB2312" w:cs="仿宋_GB2312" w:eastAsia="仿宋_GB2312"/>
        </w:rPr>
        <w:t>一、第三章“技术、服务及其他要求”中“3.2.技术要求”，“3.3.服务要求 ”：</w:t>
      </w:r>
    </w:p>
    <w:p>
      <w:pPr>
        <w:pStyle w:val="null5"/>
        <w:ind w:firstLine="480"/>
        <w:jc w:val="left"/>
      </w:pPr>
      <w:r>
        <w:rPr>
          <w:rFonts w:ascii="仿宋_GB2312" w:hAnsi="仿宋_GB2312" w:cs="仿宋_GB2312" w:eastAsia="仿宋_GB2312"/>
          <w:sz w:val="21"/>
        </w:rPr>
        <w:t>详见第三章</w:t>
      </w:r>
      <w:r>
        <w:rPr>
          <w:rFonts w:ascii="仿宋_GB2312" w:hAnsi="仿宋_GB2312" w:cs="仿宋_GB2312" w:eastAsia="仿宋_GB2312"/>
          <w:sz w:val="21"/>
        </w:rPr>
        <w:t>“技术、服务及其他要求”中“3.2.技术要求”，“3.3.服务要求 ”非带“★”实质性要求</w:t>
      </w:r>
    </w:p>
    <w:p>
      <w:pPr>
        <w:pStyle w:val="null5"/>
        <w:ind w:firstLine="480"/>
        <w:jc w:val="left"/>
      </w:pPr>
      <w:r>
        <w:rPr>
          <w:rFonts w:ascii="仿宋_GB2312" w:hAnsi="仿宋_GB2312" w:cs="仿宋_GB2312" w:eastAsia="仿宋_GB2312"/>
        </w:rPr>
        <w:t>二、第七章“拟签订采购合同文本”：</w:t>
      </w:r>
    </w:p>
    <w:p>
      <w:pPr>
        <w:pStyle w:val="null5"/>
        <w:ind w:firstLine="480"/>
        <w:jc w:val="left"/>
      </w:pPr>
      <w:r>
        <w:rPr>
          <w:rFonts w:ascii="仿宋_GB2312" w:hAnsi="仿宋_GB2312" w:cs="仿宋_GB2312" w:eastAsia="仿宋_GB2312"/>
          <w:sz w:val="21"/>
        </w:rPr>
        <w:t>详见第七章</w:t>
      </w:r>
      <w:r>
        <w:rPr>
          <w:rFonts w:ascii="仿宋_GB2312" w:hAnsi="仿宋_GB2312" w:cs="仿宋_GB2312" w:eastAsia="仿宋_GB2312"/>
          <w:sz w:val="21"/>
        </w:rPr>
        <w:t>“拟签订采购合同文本”。</w:t>
      </w:r>
    </w:p>
    <w:p>
      <w:pPr>
        <w:pStyle w:val="null5"/>
        <w:ind w:firstLine="480"/>
        <w:jc w:val="left"/>
      </w:pPr>
      <w:r>
        <w:rPr>
          <w:rFonts w:ascii="仿宋_GB2312" w:hAnsi="仿宋_GB2312" w:cs="仿宋_GB2312" w:eastAsia="仿宋_GB2312"/>
        </w:rPr>
        <w:t>除以上内容外，磋商小组不得变动磋商文件中的其他内容。</w:t>
      </w:r>
    </w:p>
    <w:p>
      <w:pPr>
        <w:pStyle w:val="null5"/>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left"/>
      </w:pPr>
      <w:r>
        <w:rPr>
          <w:rFonts w:ascii="仿宋_GB2312" w:hAnsi="仿宋_GB2312" w:cs="仿宋_GB2312" w:eastAsia="仿宋_GB2312"/>
        </w:rPr>
        <w:t>一、根据《中华人民共和国政府采购法》《中华人民共和国政府采购法实施条例》等法律制度规定， 结合本采购项目特点制定本次竞争性磋商评审办法。</w:t>
      </w:r>
    </w:p>
    <w:p>
      <w:pPr>
        <w:pStyle w:val="null5"/>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5"/>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5"/>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5"/>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5"/>
        <w:ind w:firstLine="480"/>
        <w:jc w:val="left"/>
        <w:outlineLvl w:val="2"/>
      </w:pPr>
      <w:r>
        <w:rPr>
          <w:rFonts w:ascii="仿宋_GB2312" w:hAnsi="仿宋_GB2312" w:cs="仿宋_GB2312" w:eastAsia="仿宋_GB2312"/>
          <w:sz w:val="28"/>
          <w:b/>
        </w:rPr>
        <w:t>5.2.磋商小组</w:t>
      </w:r>
    </w:p>
    <w:p>
      <w:pPr>
        <w:pStyle w:val="null5"/>
        <w:ind w:firstLine="480"/>
        <w:jc w:val="left"/>
      </w:pPr>
      <w:r>
        <w:rPr>
          <w:rFonts w:ascii="仿宋_GB2312" w:hAnsi="仿宋_GB2312" w:cs="仿宋_GB2312" w:eastAsia="仿宋_GB2312"/>
        </w:rPr>
        <w:t>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5"/>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5"/>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5"/>
        <w:ind w:firstLine="480"/>
        <w:jc w:val="left"/>
      </w:pPr>
      <w:r>
        <w:rPr>
          <w:rFonts w:ascii="仿宋_GB2312" w:hAnsi="仿宋_GB2312" w:cs="仿宋_GB2312" w:eastAsia="仿宋_GB2312"/>
        </w:rPr>
        <w:t>四、磋商小组应当履行下列职责：</w:t>
      </w:r>
    </w:p>
    <w:p>
      <w:pPr>
        <w:pStyle w:val="null5"/>
        <w:ind w:firstLine="480"/>
        <w:jc w:val="left"/>
      </w:pPr>
      <w:r>
        <w:rPr>
          <w:rFonts w:ascii="仿宋_GB2312" w:hAnsi="仿宋_GB2312" w:cs="仿宋_GB2312" w:eastAsia="仿宋_GB2312"/>
        </w:rPr>
        <w:t>（一）熟悉和理解磋商文件；</w:t>
      </w:r>
    </w:p>
    <w:p>
      <w:pPr>
        <w:pStyle w:val="null5"/>
        <w:ind w:firstLine="480"/>
        <w:jc w:val="left"/>
      </w:pPr>
      <w:r>
        <w:rPr>
          <w:rFonts w:ascii="仿宋_GB2312" w:hAnsi="仿宋_GB2312" w:cs="仿宋_GB2312" w:eastAsia="仿宋_GB2312"/>
        </w:rPr>
        <w:t>（二）审查、评价供应商响应文件等是否满足磋商文件要求；</w:t>
      </w:r>
    </w:p>
    <w:p>
      <w:pPr>
        <w:pStyle w:val="null5"/>
        <w:ind w:firstLine="480"/>
        <w:jc w:val="left"/>
      </w:pPr>
      <w:r>
        <w:rPr>
          <w:rFonts w:ascii="仿宋_GB2312" w:hAnsi="仿宋_GB2312" w:cs="仿宋_GB2312" w:eastAsia="仿宋_GB2312"/>
        </w:rPr>
        <w:t>（三）对响应文件进行比较和评价；</w:t>
      </w:r>
    </w:p>
    <w:p>
      <w:pPr>
        <w:pStyle w:val="null5"/>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5"/>
        <w:ind w:firstLine="480"/>
        <w:jc w:val="left"/>
      </w:pPr>
      <w:r>
        <w:rPr>
          <w:rFonts w:ascii="仿宋_GB2312" w:hAnsi="仿宋_GB2312" w:cs="仿宋_GB2312" w:eastAsia="仿宋_GB2312"/>
        </w:rPr>
        <w:t>（五）推荐成交候选供应商，或者受采购人委托确定成交供应商；</w:t>
      </w:r>
    </w:p>
    <w:p>
      <w:pPr>
        <w:pStyle w:val="null5"/>
        <w:ind w:firstLine="480"/>
        <w:jc w:val="left"/>
      </w:pPr>
      <w:r>
        <w:rPr>
          <w:rFonts w:ascii="仿宋_GB2312" w:hAnsi="仿宋_GB2312" w:cs="仿宋_GB2312" w:eastAsia="仿宋_GB2312"/>
        </w:rPr>
        <w:t>（六）起草资格审查报告、磋商报告并进行签署；</w:t>
      </w:r>
    </w:p>
    <w:p>
      <w:pPr>
        <w:pStyle w:val="null5"/>
        <w:ind w:firstLine="480"/>
        <w:jc w:val="left"/>
      </w:pPr>
      <w:r>
        <w:rPr>
          <w:rFonts w:ascii="仿宋_GB2312" w:hAnsi="仿宋_GB2312" w:cs="仿宋_GB2312" w:eastAsia="仿宋_GB2312"/>
        </w:rPr>
        <w:t>（七）向采购人、代理机构或者有关部门报告磋商中发现的违法行为；</w:t>
      </w:r>
    </w:p>
    <w:p>
      <w:pPr>
        <w:pStyle w:val="null5"/>
        <w:ind w:firstLine="480"/>
        <w:jc w:val="left"/>
      </w:pPr>
      <w:r>
        <w:rPr>
          <w:rFonts w:ascii="仿宋_GB2312" w:hAnsi="仿宋_GB2312" w:cs="仿宋_GB2312" w:eastAsia="仿宋_GB2312"/>
        </w:rPr>
        <w:t>（八）按规定告知供应商，未实质性响应磋商文件的响应文件按无效响应处理；</w:t>
      </w:r>
    </w:p>
    <w:p>
      <w:pPr>
        <w:pStyle w:val="null5"/>
        <w:ind w:firstLine="480"/>
        <w:jc w:val="left"/>
      </w:pPr>
      <w:r>
        <w:rPr>
          <w:rFonts w:ascii="仿宋_GB2312" w:hAnsi="仿宋_GB2312" w:cs="仿宋_GB2312" w:eastAsia="仿宋_GB2312"/>
        </w:rPr>
        <w:t>（九）法律、法规和规章规定的其他职责。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left"/>
      </w:pPr>
      <w:r>
        <w:rPr>
          <w:rFonts w:ascii="仿宋_GB2312" w:hAnsi="仿宋_GB2312" w:cs="仿宋_GB2312" w:eastAsia="仿宋_GB2312"/>
        </w:rPr>
        <w:t>5.3.1.熟悉和理解磋商文件</w:t>
      </w:r>
    </w:p>
    <w:p>
      <w:pPr>
        <w:pStyle w:val="null5"/>
        <w:ind w:firstLine="480"/>
        <w:jc w:val="both"/>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5"/>
        <w:ind w:firstLine="480"/>
        <w:jc w:val="left"/>
      </w:pPr>
      <w:r>
        <w:rPr>
          <w:rFonts w:ascii="仿宋_GB2312" w:hAnsi="仿宋_GB2312" w:cs="仿宋_GB2312" w:eastAsia="仿宋_GB2312"/>
        </w:rPr>
        <w:t>5.3.2.停止评审的情形</w:t>
      </w:r>
    </w:p>
    <w:p>
      <w:pPr>
        <w:pStyle w:val="null5"/>
        <w:ind w:firstLine="480"/>
        <w:jc w:val="left"/>
      </w:pPr>
      <w:r>
        <w:rPr>
          <w:rFonts w:ascii="仿宋_GB2312" w:hAnsi="仿宋_GB2312" w:cs="仿宋_GB2312" w:eastAsia="仿宋_GB2312"/>
        </w:rPr>
        <w:t>本磋商文件有下列情形之一的，磋商小组应当停止评审：</w:t>
      </w:r>
    </w:p>
    <w:p>
      <w:pPr>
        <w:pStyle w:val="null5"/>
        <w:ind w:firstLine="480"/>
        <w:jc w:val="left"/>
      </w:pPr>
      <w:r>
        <w:rPr>
          <w:rFonts w:ascii="仿宋_GB2312" w:hAnsi="仿宋_GB2312" w:cs="仿宋_GB2312" w:eastAsia="仿宋_GB2312"/>
        </w:rPr>
        <w:t>一、磋商文件的规定存在歧义、重大缺陷，导致评审工作无法进行的；</w:t>
      </w:r>
    </w:p>
    <w:p>
      <w:pPr>
        <w:pStyle w:val="null5"/>
        <w:ind w:firstLine="480"/>
        <w:jc w:val="left"/>
      </w:pPr>
      <w:r>
        <w:rPr>
          <w:rFonts w:ascii="仿宋_GB2312" w:hAnsi="仿宋_GB2312" w:cs="仿宋_GB2312" w:eastAsia="仿宋_GB2312"/>
        </w:rPr>
        <w:t>二、磋商文件明显以不合理条件对供应商实行差别待遇或者歧视待遇的；</w:t>
      </w:r>
    </w:p>
    <w:p>
      <w:pPr>
        <w:pStyle w:val="null5"/>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5"/>
        <w:ind w:firstLine="480"/>
        <w:jc w:val="left"/>
      </w:pPr>
      <w:r>
        <w:rPr>
          <w:rFonts w:ascii="仿宋_GB2312" w:hAnsi="仿宋_GB2312" w:cs="仿宋_GB2312" w:eastAsia="仿宋_GB2312"/>
        </w:rPr>
        <w:t>四、采购项目属于政府采购促进中小企业发展的范围，但是竞争性磋商文件未依法体现促进中小企业发展相关规定的；</w:t>
      </w:r>
    </w:p>
    <w:p>
      <w:pPr>
        <w:pStyle w:val="null5"/>
        <w:ind w:firstLine="480"/>
        <w:jc w:val="left"/>
      </w:pPr>
      <w:r>
        <w:rPr>
          <w:rFonts w:ascii="仿宋_GB2312" w:hAnsi="仿宋_GB2312" w:cs="仿宋_GB2312" w:eastAsia="仿宋_GB2312"/>
        </w:rPr>
        <w:t>五、磋商文件将供应商的资格条件列为评分因素的；</w:t>
      </w:r>
    </w:p>
    <w:p>
      <w:pPr>
        <w:pStyle w:val="null5"/>
        <w:ind w:firstLine="480"/>
        <w:jc w:val="left"/>
      </w:pPr>
      <w:r>
        <w:rPr>
          <w:rFonts w:ascii="仿宋_GB2312" w:hAnsi="仿宋_GB2312" w:cs="仿宋_GB2312" w:eastAsia="仿宋_GB2312"/>
        </w:rPr>
        <w:t>六、磋商文件载明的成交原则不合法的；</w:t>
      </w:r>
    </w:p>
    <w:p>
      <w:pPr>
        <w:pStyle w:val="null5"/>
        <w:ind w:firstLine="480"/>
        <w:jc w:val="left"/>
      </w:pPr>
      <w:r>
        <w:rPr>
          <w:rFonts w:ascii="仿宋_GB2312" w:hAnsi="仿宋_GB2312" w:cs="仿宋_GB2312" w:eastAsia="仿宋_GB2312"/>
        </w:rPr>
        <w:t>七、磋商文件有违反国家其他有关强制性规定的情形。</w:t>
      </w:r>
    </w:p>
    <w:p>
      <w:pPr>
        <w:pStyle w:val="null5"/>
        <w:ind w:firstLine="480"/>
        <w:jc w:val="both"/>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5"/>
        <w:ind w:firstLine="480"/>
        <w:jc w:val="both"/>
      </w:pPr>
      <w:r>
        <w:rPr>
          <w:rFonts w:ascii="仿宋_GB2312" w:hAnsi="仿宋_GB2312" w:cs="仿宋_GB2312" w:eastAsia="仿宋_GB2312"/>
        </w:rPr>
        <w:t>出现上述应当停止评审情形的，代理机构应当将停止评审的情形和具体原因通过交易系统告知参加采购活动的供应商，并在“中国山东政府采购网”公告。采购人、代理机构认为磋商小组不应当停止评审的，可以书面报告采购项目同级财政部门依法处理，并提供相关证明材料。</w:t>
      </w:r>
    </w:p>
    <w:p>
      <w:pPr>
        <w:pStyle w:val="null5"/>
        <w:ind w:firstLine="480"/>
        <w:jc w:val="left"/>
      </w:pPr>
      <w:r>
        <w:rPr>
          <w:rFonts w:ascii="仿宋_GB2312" w:hAnsi="仿宋_GB2312" w:cs="仿宋_GB2312" w:eastAsia="仿宋_GB2312"/>
        </w:rPr>
        <w:t>5.3.3.资格审查</w:t>
      </w:r>
    </w:p>
    <w:p>
      <w:pPr>
        <w:pStyle w:val="null5"/>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5"/>
        <w:ind w:firstLine="480"/>
        <w:jc w:val="left"/>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供应商具有独立承担民事责任的能力</w:t>
            </w:r>
          </w:p>
        </w:tc>
        <w:tc>
          <w:tcPr>
            <w:tcW w:type="dxa" w:w="3322"/>
          </w:tcPr>
          <w:p>
            <w:pPr>
              <w:pStyle w:val="null5"/>
              <w:jc w:val="left"/>
            </w:pPr>
            <w:r>
              <w:rPr>
                <w:rFonts w:ascii="仿宋_GB2312" w:hAnsi="仿宋_GB2312" w:cs="仿宋_GB2312" w:eastAsia="仿宋_GB2312"/>
              </w:rPr>
              <w:t>提供有效的营业执照或者事业单位法人证书或者民办非企业单位、社会团体法人等的登记证书等证明文件或者自然人的身份证明（自然人身份证明仅在自然人作为投标主体时适用）。（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供应商具有良好的商业信誉和健全的财务会计制度</w:t>
            </w:r>
          </w:p>
        </w:tc>
        <w:tc>
          <w:tcPr>
            <w:tcW w:type="dxa" w:w="3322"/>
          </w:tcPr>
          <w:p>
            <w:pPr>
              <w:pStyle w:val="null5"/>
              <w:jc w:val="left"/>
            </w:pPr>
            <w:r>
              <w:rPr>
                <w:rFonts w:ascii="仿宋_GB2312" w:hAnsi="仿宋_GB2312" w:cs="仿宋_GB2312" w:eastAsia="仿宋_GB2312"/>
              </w:rPr>
              <w:t>提供2025年度由有法定资格的中介机构出具的财务审计报告。供应商未提供财务审计报告的，应当提供基本开户银行出具的资信证明，中小企业可提供财政部门认可的政府采购专业担保机构出具的投标担保函。（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供应商具有履行合同所必需的设备和专业技术能力</w:t>
            </w:r>
          </w:p>
        </w:tc>
        <w:tc>
          <w:tcPr>
            <w:tcW w:type="dxa" w:w="3322"/>
          </w:tcPr>
          <w:p>
            <w:pPr>
              <w:pStyle w:val="null5"/>
              <w:jc w:val="left"/>
            </w:pPr>
            <w:r>
              <w:rPr>
                <w:rFonts w:ascii="仿宋_GB2312" w:hAnsi="仿宋_GB2312" w:cs="仿宋_GB2312" w:eastAsia="仿宋_GB2312"/>
              </w:rPr>
              <w:t>履行本项目合同所必需的设备和专业技术能力的证明。（提供原件扫描件或复印件加盖公章）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供应商具有依法缴纳税收和社会保障资金的良好记录</w:t>
            </w:r>
          </w:p>
        </w:tc>
        <w:tc>
          <w:tcPr>
            <w:tcW w:type="dxa" w:w="3322"/>
          </w:tcPr>
          <w:p>
            <w:pPr>
              <w:pStyle w:val="null5"/>
              <w:jc w:val="left"/>
            </w:pPr>
            <w:r>
              <w:rPr>
                <w:rFonts w:ascii="仿宋_GB2312" w:hAnsi="仿宋_GB2312" w:cs="仿宋_GB2312" w:eastAsia="仿宋_GB2312"/>
              </w:rPr>
              <w:t>（1）提供依法缴纳近半年内任意一个月税收的凭据（或纳税申报）或依法缴纳税收和社会保障资金承诺函；（2）提供依法缴纳近半年内任意一个月社会保险的凭据或依法缴纳税收和社会保障资金承诺函；（3）依法免税或不需要缴纳社会保险的供应商，应提供相应文件证明其依法免税或不需要缴纳社会保险。注：（1）在山东省境内注册的供应商参与本项目，且可通过“中国山东政府采购网”查询缴纳税收和社会保障资金信息的，可在响应文件中提供《依法缴纳税收和社会保障资金承诺函》。供应商可登录“中国山东政府采购网”(www.ccgp-shandong.gov.cn)，在“开评标管理”栏目中查询本单位在山东省缴纳税收和社会保障资金的情况。（2）以下情形不适用提供《依法缴纳税收和社会保障资金承诺函》，应按照竞争性磋商文件要求提供相关证明材料。①供应商登录“中国山东政府采购网”查询缴纳税收和社会保障资金信息反馈无相关信息的。②依法免税或不需要缴纳社会保障资金的。③未在山东省内缴纳税收和社会保障资金的供应商。④其他不适用依法缴纳税收和社会保障资金承诺制的情形。（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供应商参加政府采购活动前三年内，在经营活动中没有重大违法记录</w:t>
            </w:r>
          </w:p>
        </w:tc>
        <w:tc>
          <w:tcPr>
            <w:tcW w:type="dxa" w:w="3322"/>
          </w:tcPr>
          <w:p>
            <w:pPr>
              <w:pStyle w:val="null5"/>
              <w:jc w:val="left"/>
            </w:pPr>
            <w:r>
              <w:rPr>
                <w:rFonts w:ascii="仿宋_GB2312" w:hAnsi="仿宋_GB2312" w:cs="仿宋_GB2312" w:eastAsia="仿宋_GB2312"/>
              </w:rPr>
              <w:t>参加本次政府采购活动前近三年内在经营活动中没有重大违法记录的书面声明函。（提供原件扫描件或复印件加盖公章）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供应商无不良信用记录</w:t>
            </w:r>
          </w:p>
        </w:tc>
        <w:tc>
          <w:tcPr>
            <w:tcW w:type="dxa" w:w="3322"/>
          </w:tcPr>
          <w:p>
            <w:pPr>
              <w:pStyle w:val="null5"/>
              <w:jc w:val="left"/>
            </w:pPr>
            <w:r>
              <w:rPr>
                <w:rFonts w:ascii="仿宋_GB2312" w:hAnsi="仿宋_GB2312" w:cs="仿宋_GB2312" w:eastAsia="仿宋_GB2312"/>
              </w:rPr>
              <w:t>未被列入信用中国网站（www.creditchina.gov.cn）、中国政府采购网（www.ccgp.gov.cn）渠道信用记录失信被执行人、重大税收违法案件当事人名单、政府采购严重违法失信行为记录名单。本项由采购代理机构现场核查。</w:t>
            </w:r>
          </w:p>
        </w:tc>
        <w:tc>
          <w:tcPr>
            <w:tcW w:type="dxa" w:w="1661"/>
          </w:tcPr>
          <w:p>
            <w:pPr>
              <w:pStyle w:val="null5"/>
              <w:jc w:val="left"/>
            </w:pPr>
            <w:r>
              <w:rPr>
                <w:rFonts w:ascii="仿宋_GB2312" w:hAnsi="仿宋_GB2312" w:cs="仿宋_GB2312" w:eastAsia="仿宋_GB2312"/>
              </w:rPr>
              <w:t>资格证明文件</w:t>
            </w:r>
          </w:p>
        </w:tc>
      </w:tr>
    </w:tbl>
    <w:p>
      <w:pPr>
        <w:pStyle w:val="null5"/>
        <w:ind w:firstLine="480"/>
        <w:jc w:val="left"/>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5.3.4.符合性审查</w:t>
      </w:r>
    </w:p>
    <w:p>
      <w:pPr>
        <w:pStyle w:val="null5"/>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5"/>
        <w:ind w:firstLine="480"/>
        <w:jc w:val="both"/>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5"/>
        <w:ind w:firstLine="480"/>
        <w:jc w:val="left"/>
      </w:pPr>
      <w:r>
        <w:rPr>
          <w:rFonts w:ascii="仿宋_GB2312" w:hAnsi="仿宋_GB2312" w:cs="仿宋_GB2312" w:eastAsia="仿宋_GB2312"/>
        </w:rPr>
        <w:t>符合性审查标准见下表：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是否按磋商文件规定要求签署、盖章</w:t>
            </w:r>
          </w:p>
        </w:tc>
        <w:tc>
          <w:tcPr>
            <w:tcW w:type="dxa" w:w="3322"/>
          </w:tcPr>
          <w:p>
            <w:pPr>
              <w:pStyle w:val="null5"/>
              <w:jc w:val="left"/>
            </w:pPr>
            <w:r>
              <w:rPr>
                <w:rFonts w:ascii="仿宋_GB2312" w:hAnsi="仿宋_GB2312" w:cs="仿宋_GB2312" w:eastAsia="仿宋_GB2312"/>
              </w:rPr>
              <w:t>按磋商文件规定要求签署、盖章</w:t>
            </w:r>
          </w:p>
        </w:tc>
        <w:tc>
          <w:tcPr>
            <w:tcW w:type="dxa" w:w="1661"/>
          </w:tcPr>
          <w:p>
            <w:pPr>
              <w:pStyle w:val="null5"/>
              <w:jc w:val="left"/>
            </w:pPr>
            <w:r>
              <w:rPr>
                <w:rFonts w:ascii="仿宋_GB2312" w:hAnsi="仿宋_GB2312" w:cs="仿宋_GB2312" w:eastAsia="仿宋_GB2312"/>
              </w:rPr>
              <w:t>资格证明文件、技术偏离表、商务偏离表、开标（报价）一览表、投标（响应）报价明细表、封面、响应函、不参与串通投标承诺书、法定代表人身份证明、法定代表人授权委托书</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带“★”号部分任意一款是否满足要求</w:t>
            </w:r>
          </w:p>
        </w:tc>
        <w:tc>
          <w:tcPr>
            <w:tcW w:type="dxa" w:w="3322"/>
          </w:tcPr>
          <w:p>
            <w:pPr>
              <w:pStyle w:val="null5"/>
              <w:jc w:val="left"/>
            </w:pPr>
            <w:r>
              <w:rPr>
                <w:rFonts w:ascii="仿宋_GB2312" w:hAnsi="仿宋_GB2312" w:cs="仿宋_GB2312" w:eastAsia="仿宋_GB2312"/>
              </w:rPr>
              <w:t>带“★”号部分任意一款满足要求</w:t>
            </w:r>
          </w:p>
        </w:tc>
        <w:tc>
          <w:tcPr>
            <w:tcW w:type="dxa" w:w="1661"/>
          </w:tcPr>
          <w:p>
            <w:pPr>
              <w:pStyle w:val="null5"/>
              <w:jc w:val="left"/>
            </w:pPr>
            <w:r>
              <w:rPr>
                <w:rFonts w:ascii="仿宋_GB2312" w:hAnsi="仿宋_GB2312" w:cs="仿宋_GB2312" w:eastAsia="仿宋_GB2312"/>
              </w:rPr>
              <w:t>技术偏离表、商务偏离表</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报价有效期是否满足磋商文件要求</w:t>
            </w:r>
          </w:p>
        </w:tc>
        <w:tc>
          <w:tcPr>
            <w:tcW w:type="dxa" w:w="3322"/>
          </w:tcPr>
          <w:p>
            <w:pPr>
              <w:pStyle w:val="null5"/>
              <w:jc w:val="left"/>
            </w:pPr>
            <w:r>
              <w:rPr>
                <w:rFonts w:ascii="仿宋_GB2312" w:hAnsi="仿宋_GB2312" w:cs="仿宋_GB2312" w:eastAsia="仿宋_GB2312"/>
              </w:rPr>
              <w:t>报价有效期满足磋商文件要求</w:t>
            </w:r>
          </w:p>
        </w:tc>
        <w:tc>
          <w:tcPr>
            <w:tcW w:type="dxa" w:w="1661"/>
          </w:tcPr>
          <w:p>
            <w:pPr>
              <w:pStyle w:val="null5"/>
              <w:jc w:val="left"/>
            </w:pPr>
            <w:r>
              <w:rPr>
                <w:rFonts w:ascii="仿宋_GB2312" w:hAnsi="仿宋_GB2312" w:cs="仿宋_GB2312" w:eastAsia="仿宋_GB2312"/>
              </w:rPr>
              <w:t>响应函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报价是否超过磋商文件中规定的预算金额或者最高限价的</w:t>
            </w:r>
          </w:p>
        </w:tc>
        <w:tc>
          <w:tcPr>
            <w:tcW w:type="dxa" w:w="3322"/>
          </w:tcPr>
          <w:p>
            <w:pPr>
              <w:pStyle w:val="null5"/>
              <w:jc w:val="left"/>
            </w:pPr>
            <w:r>
              <w:rPr>
                <w:rFonts w:ascii="仿宋_GB2312" w:hAnsi="仿宋_GB2312" w:cs="仿宋_GB2312" w:eastAsia="仿宋_GB2312"/>
              </w:rPr>
              <w:t>报价未超过磋商文件中规定的预算金额或者最高限价的</w:t>
            </w:r>
          </w:p>
        </w:tc>
        <w:tc>
          <w:tcPr>
            <w:tcW w:type="dxa" w:w="1661"/>
          </w:tcPr>
          <w:p>
            <w:pPr>
              <w:pStyle w:val="null5"/>
              <w:jc w:val="left"/>
            </w:pPr>
            <w:r>
              <w:rPr>
                <w:rFonts w:ascii="仿宋_GB2312" w:hAnsi="仿宋_GB2312" w:cs="仿宋_GB2312" w:eastAsia="仿宋_GB2312"/>
              </w:rPr>
              <w:t>开标（报价）一览表、投标（响应）报价明细表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是否按照磋商文件规定报价、是否存在拒绝报价、多个报价、选择性报价、附有条件的报价或者拒绝修正报价的</w:t>
            </w:r>
          </w:p>
        </w:tc>
        <w:tc>
          <w:tcPr>
            <w:tcW w:type="dxa" w:w="3322"/>
          </w:tcPr>
          <w:p>
            <w:pPr>
              <w:pStyle w:val="null5"/>
              <w:jc w:val="left"/>
            </w:pPr>
            <w:r>
              <w:rPr>
                <w:rFonts w:ascii="仿宋_GB2312" w:hAnsi="仿宋_GB2312" w:cs="仿宋_GB2312" w:eastAsia="仿宋_GB2312"/>
              </w:rPr>
              <w:t>按照磋商文件规定报价、不存在拒绝报价、多个报价、选择性报价、附有条件的报价或者拒绝修正报价的</w:t>
            </w:r>
          </w:p>
        </w:tc>
        <w:tc>
          <w:tcPr>
            <w:tcW w:type="dxa" w:w="1661"/>
          </w:tcPr>
          <w:p>
            <w:pPr>
              <w:pStyle w:val="null5"/>
              <w:jc w:val="left"/>
            </w:pPr>
            <w:r>
              <w:rPr>
                <w:rFonts w:ascii="仿宋_GB2312" w:hAnsi="仿宋_GB2312" w:cs="仿宋_GB2312" w:eastAsia="仿宋_GB2312"/>
              </w:rPr>
              <w:t>投标（响应）报价明细表、开标（报价）一览表</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响应函、不参与串通投标承诺书、法定代表人身份证明、法定代表人授权委托书（委托代理人的须提供）、投标（响应）报价明细表、开标（报价）一览表、商务偏离表、技术偏离表、产品均为原厂正品承诺函</w:t>
            </w:r>
          </w:p>
        </w:tc>
        <w:tc>
          <w:tcPr>
            <w:tcW w:type="dxa" w:w="1661"/>
          </w:tcPr>
          <w:p>
            <w:pPr>
              <w:pStyle w:val="null5"/>
              <w:jc w:val="left"/>
            </w:pPr>
            <w:r>
              <w:rPr>
                <w:rFonts w:ascii="仿宋_GB2312" w:hAnsi="仿宋_GB2312" w:cs="仿宋_GB2312" w:eastAsia="仿宋_GB2312"/>
              </w:rPr>
              <w:t>技术偏离表、投标（响应）报价明细表、开标（报价）一览表、商务偏离表、产品均为原厂正品承诺函、不参与串通投标承诺书、法定代表人身份证明、法定代表人授权委托书</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是否符合磋商文件及法律、法规规定的其他情形</w:t>
            </w:r>
          </w:p>
        </w:tc>
        <w:tc>
          <w:tcPr>
            <w:tcW w:type="dxa" w:w="3322"/>
          </w:tcPr>
          <w:p>
            <w:pPr>
              <w:pStyle w:val="null5"/>
              <w:jc w:val="left"/>
            </w:pPr>
            <w:r>
              <w:rPr>
                <w:rFonts w:ascii="仿宋_GB2312" w:hAnsi="仿宋_GB2312" w:cs="仿宋_GB2312" w:eastAsia="仿宋_GB2312"/>
              </w:rPr>
              <w:t>符合磋商文件及法律、法规规定的其他情形。</w:t>
            </w:r>
          </w:p>
        </w:tc>
        <w:tc>
          <w:tcPr>
            <w:tcW w:type="dxa" w:w="1661"/>
          </w:tcPr>
          <w:p>
            <w:pPr>
              <w:pStyle w:val="null5"/>
              <w:jc w:val="left"/>
            </w:pPr>
            <w:r>
              <w:rPr>
                <w:rFonts w:ascii="仿宋_GB2312" w:hAnsi="仿宋_GB2312" w:cs="仿宋_GB2312" w:eastAsia="仿宋_GB2312"/>
              </w:rPr>
              <w:t>供应商认为需要提交的其他文件、封面</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是否属于串通投标，或者依法被视为串通投标</w:t>
            </w:r>
          </w:p>
        </w:tc>
        <w:tc>
          <w:tcPr>
            <w:tcW w:type="dxa" w:w="3322"/>
          </w:tcPr>
          <w:p>
            <w:pPr>
              <w:pStyle w:val="null5"/>
              <w:jc w:val="left"/>
            </w:pPr>
            <w:r>
              <w:rPr>
                <w:rFonts w:ascii="仿宋_GB2312" w:hAnsi="仿宋_GB2312" w:cs="仿宋_GB2312" w:eastAsia="仿宋_GB2312"/>
              </w:rPr>
              <w:t>不属于串通投标，或者依法被视为串通投标</w:t>
            </w:r>
          </w:p>
        </w:tc>
        <w:tc>
          <w:tcPr>
            <w:tcW w:type="dxa" w:w="1661"/>
          </w:tcPr>
          <w:p>
            <w:pPr>
              <w:pStyle w:val="null5"/>
              <w:jc w:val="left"/>
            </w:pPr>
            <w:r>
              <w:rPr>
                <w:rFonts w:ascii="仿宋_GB2312" w:hAnsi="仿宋_GB2312" w:cs="仿宋_GB2312" w:eastAsia="仿宋_GB2312"/>
              </w:rPr>
              <w:t>不参与串通投标承诺书</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政府采购异常低价审查</w:t>
            </w:r>
          </w:p>
        </w:tc>
        <w:tc>
          <w:tcPr>
            <w:tcW w:type="dxa" w:w="3322"/>
          </w:tcPr>
          <w:p>
            <w:pPr>
              <w:pStyle w:val="null5"/>
              <w:jc w:val="left"/>
            </w:pPr>
            <w:r>
              <w:rPr>
                <w:rFonts w:ascii="仿宋_GB2312" w:hAnsi="仿宋_GB2312" w:cs="仿宋_GB2312" w:eastAsia="仿宋_GB2312"/>
              </w:rPr>
              <w:t>启动异常低价投标审查后，供应商不能提供书面说明、证明材料，或者提供的书面说明、证明材料不能证明其报价合理性的</w:t>
            </w:r>
          </w:p>
        </w:tc>
        <w:tc>
          <w:tcPr>
            <w:tcW w:type="dxa" w:w="1661"/>
          </w:tcPr>
          <w:p>
            <w:pPr>
              <w:pStyle w:val="null5"/>
              <w:jc w:val="left"/>
            </w:pPr>
            <w:r>
              <w:rPr>
                <w:rFonts w:ascii="仿宋_GB2312" w:hAnsi="仿宋_GB2312" w:cs="仿宋_GB2312" w:eastAsia="仿宋_GB2312"/>
              </w:rPr>
              <w:t>开标（报价）一览表、投标（响应）报价明细表</w:t>
            </w:r>
          </w:p>
        </w:tc>
      </w:tr>
      <w:tr>
        <w:tc>
          <w:tcPr>
            <w:tcW w:type="dxa" w:w="831"/>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响应文件是否含有采购人不能接受的附加条件的</w:t>
            </w:r>
          </w:p>
        </w:tc>
        <w:tc>
          <w:tcPr>
            <w:tcW w:type="dxa" w:w="3322"/>
          </w:tcPr>
          <w:p>
            <w:pPr>
              <w:pStyle w:val="null5"/>
              <w:jc w:val="left"/>
            </w:pPr>
            <w:r>
              <w:rPr>
                <w:rFonts w:ascii="仿宋_GB2312" w:hAnsi="仿宋_GB2312" w:cs="仿宋_GB2312" w:eastAsia="仿宋_GB2312"/>
              </w:rPr>
              <w:t>响应文件不含有采购人不能接受的附加条件的</w:t>
            </w:r>
          </w:p>
        </w:tc>
        <w:tc>
          <w:tcPr>
            <w:tcW w:type="dxa" w:w="1661"/>
          </w:tcPr>
          <w:p>
            <w:pPr>
              <w:pStyle w:val="null5"/>
              <w:jc w:val="left"/>
            </w:pPr>
            <w:r>
              <w:rPr>
                <w:rFonts w:ascii="仿宋_GB2312" w:hAnsi="仿宋_GB2312" w:cs="仿宋_GB2312" w:eastAsia="仿宋_GB2312"/>
              </w:rPr>
              <w:t>封面</w:t>
            </w:r>
          </w:p>
        </w:tc>
      </w:tr>
    </w:tbl>
    <w:p>
      <w:pPr>
        <w:pStyle w:val="null5"/>
        <w:ind w:firstLine="480"/>
        <w:jc w:val="both"/>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5"/>
        <w:ind w:firstLine="480"/>
        <w:jc w:val="left"/>
      </w:pPr>
      <w:r>
        <w:rPr>
          <w:rFonts w:ascii="仿宋_GB2312" w:hAnsi="仿宋_GB2312" w:cs="仿宋_GB2312" w:eastAsia="仿宋_GB2312"/>
        </w:rPr>
        <w:t>5.3.5.磋商</w:t>
      </w:r>
    </w:p>
    <w:p>
      <w:pPr>
        <w:pStyle w:val="null5"/>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5"/>
        <w:ind w:firstLine="480"/>
        <w:jc w:val="left"/>
      </w:pPr>
      <w:r>
        <w:rPr>
          <w:rFonts w:ascii="仿宋_GB2312" w:hAnsi="仿宋_GB2312" w:cs="仿宋_GB2312" w:eastAsia="仿宋_GB2312"/>
        </w:rPr>
        <w:t>二、磋商小组所有成员集中与所有供应商对技术、服务、合同条款等内容分别进行一轮或多轮的磋商。</w:t>
      </w:r>
    </w:p>
    <w:p>
      <w:pPr>
        <w:pStyle w:val="null5"/>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5"/>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5"/>
        <w:ind w:firstLine="480"/>
        <w:jc w:val="left"/>
      </w:pPr>
      <w:r>
        <w:rPr>
          <w:rFonts w:ascii="仿宋_GB2312" w:hAnsi="仿宋_GB2312" w:cs="仿宋_GB2312" w:eastAsia="仿宋_GB2312"/>
        </w:rPr>
        <w:t>五、磋商过程中，供应商可以根据磋商情况变更其响应文件，并将明确内容以“供应商响应表”形式在线提交磋商小组。“供应商响应表”作为响应文件的一部分，应加盖供应商（法定名称）电子印章，否则无效。</w:t>
      </w:r>
    </w:p>
    <w:p>
      <w:pPr>
        <w:pStyle w:val="null5"/>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5"/>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5"/>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5"/>
        <w:ind w:firstLine="480"/>
        <w:jc w:val="left"/>
      </w:pPr>
      <w:r>
        <w:rPr>
          <w:rFonts w:ascii="仿宋_GB2312" w:hAnsi="仿宋_GB2312" w:cs="仿宋_GB2312" w:eastAsia="仿宋_GB2312"/>
        </w:rPr>
        <w:t>5.3.6.最后报价</w:t>
      </w:r>
    </w:p>
    <w:p>
      <w:pPr>
        <w:pStyle w:val="null5"/>
        <w:ind w:firstLine="480"/>
        <w:jc w:val="left"/>
      </w:pPr>
      <w:r>
        <w:rPr>
          <w:rFonts w:ascii="仿宋_GB2312" w:hAnsi="仿宋_GB2312" w:cs="仿宋_GB2312" w:eastAsia="仿宋_GB2312"/>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如本项目符合《政府采购竞争性磋商采购方式管理暂行办法》第三条第四项情形的，提交最后报价的供应商可以为2家。有效最后报价应商家数不足本采购包约定最低有效家数的，本次采购活动终止，并发布终止公告。</w:t>
      </w:r>
    </w:p>
    <w:p>
      <w:pPr>
        <w:pStyle w:val="null5"/>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5"/>
        <w:ind w:firstLine="480"/>
        <w:jc w:val="left"/>
      </w:pPr>
      <w:r>
        <w:rPr>
          <w:rFonts w:ascii="仿宋_GB2312" w:hAnsi="仿宋_GB2312" w:cs="仿宋_GB2312" w:eastAsia="仿宋_GB2312"/>
        </w:rPr>
        <w:t>二、供应商未按磋商小组要求在规定时间内提交报价的，视为无效响应，由供应商自行承担不利后果。</w:t>
      </w:r>
    </w:p>
    <w:p>
      <w:pPr>
        <w:pStyle w:val="null5"/>
        <w:ind w:firstLine="480"/>
        <w:jc w:val="left"/>
      </w:pPr>
      <w:r>
        <w:rPr>
          <w:rFonts w:ascii="仿宋_GB2312" w:hAnsi="仿宋_GB2312" w:cs="仿宋_GB2312" w:eastAsia="仿宋_GB2312"/>
        </w:rPr>
        <w:t>三、最后报价提交后，供应商不得以任何理由撤回。</w:t>
      </w:r>
    </w:p>
    <w:p>
      <w:pPr>
        <w:pStyle w:val="null5"/>
        <w:ind w:firstLine="480"/>
        <w:jc w:val="left"/>
      </w:pPr>
      <w:r>
        <w:rPr>
          <w:rFonts w:ascii="仿宋_GB2312" w:hAnsi="仿宋_GB2312" w:cs="仿宋_GB2312" w:eastAsia="仿宋_GB2312"/>
        </w:rPr>
        <w:t>四、最后报价为有效报价应符合下列条件：</w:t>
      </w:r>
    </w:p>
    <w:p>
      <w:pPr>
        <w:pStyle w:val="null5"/>
        <w:ind w:firstLine="480"/>
        <w:jc w:val="left"/>
      </w:pPr>
      <w:r>
        <w:rPr>
          <w:rFonts w:ascii="仿宋_GB2312" w:hAnsi="仿宋_GB2312" w:cs="仿宋_GB2312" w:eastAsia="仿宋_GB2312"/>
        </w:rPr>
        <w:t>（一）供应商所提供的最后报价是在规定的时间内提交。</w:t>
      </w:r>
    </w:p>
    <w:p>
      <w:pPr>
        <w:pStyle w:val="null5"/>
        <w:ind w:firstLine="480"/>
        <w:jc w:val="left"/>
      </w:pPr>
      <w:r>
        <w:rPr>
          <w:rFonts w:ascii="仿宋_GB2312" w:hAnsi="仿宋_GB2312" w:cs="仿宋_GB2312" w:eastAsia="仿宋_GB2312"/>
        </w:rPr>
        <w:t>（二）供应商的最后报价应加盖供应商（法定名称）电子印章。</w:t>
      </w:r>
    </w:p>
    <w:p>
      <w:pPr>
        <w:pStyle w:val="null5"/>
        <w:ind w:firstLine="480"/>
        <w:jc w:val="left"/>
      </w:pPr>
      <w:r>
        <w:rPr>
          <w:rFonts w:ascii="仿宋_GB2312" w:hAnsi="仿宋_GB2312" w:cs="仿宋_GB2312" w:eastAsia="仿宋_GB2312"/>
        </w:rPr>
        <w:t>（三）供应商的最后报价应符合磋商文件的要求。</w:t>
      </w:r>
    </w:p>
    <w:p>
      <w:pPr>
        <w:pStyle w:val="null5"/>
        <w:ind w:firstLine="480"/>
        <w:jc w:val="left"/>
      </w:pPr>
      <w:r>
        <w:rPr>
          <w:rFonts w:ascii="仿宋_GB2312" w:hAnsi="仿宋_GB2312" w:cs="仿宋_GB2312" w:eastAsia="仿宋_GB2312"/>
        </w:rPr>
        <w:t>（四）最后报价唯一，且不高于最高限价。</w:t>
      </w:r>
    </w:p>
    <w:p>
      <w:pPr>
        <w:pStyle w:val="null5"/>
        <w:ind w:firstLine="480"/>
        <w:jc w:val="left"/>
      </w:pPr>
      <w:r>
        <w:rPr>
          <w:rFonts w:ascii="仿宋_GB2312" w:hAnsi="仿宋_GB2312" w:cs="仿宋_GB2312" w:eastAsia="仿宋_GB2312"/>
        </w:rPr>
        <w:t>五、最后报价出现下列情况的，除磋商文件另有规定外，按以下原则处理：</w:t>
      </w:r>
    </w:p>
    <w:p>
      <w:pPr>
        <w:pStyle w:val="null5"/>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5"/>
        <w:ind w:firstLine="480"/>
        <w:jc w:val="left"/>
      </w:pPr>
      <w:r>
        <w:rPr>
          <w:rFonts w:ascii="仿宋_GB2312" w:hAnsi="仿宋_GB2312" w:cs="仿宋_GB2312" w:eastAsia="仿宋_GB2312"/>
        </w:rPr>
        <w:t>（二）单价金额小数点或者百分比有明显错位的，应以总价为准，并修改单价；</w:t>
      </w:r>
    </w:p>
    <w:p>
      <w:pPr>
        <w:pStyle w:val="null5"/>
        <w:ind w:firstLine="480"/>
        <w:jc w:val="left"/>
      </w:pPr>
      <w:r>
        <w:rPr>
          <w:rFonts w:ascii="仿宋_GB2312" w:hAnsi="仿宋_GB2312" w:cs="仿宋_GB2312" w:eastAsia="仿宋_GB2312"/>
        </w:rPr>
        <w:t>（三）总价金额与按单价汇总金额不一致的，以单价汇总金额计算结果为准；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5"/>
        <w:ind w:firstLine="480"/>
        <w:jc w:val="left"/>
      </w:pPr>
      <w:r>
        <w:rPr>
          <w:rFonts w:ascii="仿宋_GB2312" w:hAnsi="仿宋_GB2312" w:cs="仿宋_GB2312" w:eastAsia="仿宋_GB2312"/>
        </w:rPr>
        <w:t>5.3.7.解释、澄清、说明的有关问题</w:t>
      </w:r>
    </w:p>
    <w:p>
      <w:pPr>
        <w:pStyle w:val="null5"/>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5"/>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5"/>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5"/>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5"/>
        <w:ind w:firstLine="480"/>
        <w:jc w:val="left"/>
      </w:pPr>
      <w:r>
        <w:rPr>
          <w:rFonts w:ascii="仿宋_GB2312" w:hAnsi="仿宋_GB2312" w:cs="仿宋_GB2312" w:eastAsia="仿宋_GB2312"/>
        </w:rPr>
        <w:t>5.3.8.比较与评价</w:t>
      </w:r>
    </w:p>
    <w:p>
      <w:pPr>
        <w:pStyle w:val="null5"/>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5"/>
        <w:ind w:firstLine="480"/>
        <w:jc w:val="left"/>
      </w:pPr>
      <w:r>
        <w:rPr>
          <w:rFonts w:ascii="仿宋_GB2312" w:hAnsi="仿宋_GB2312" w:cs="仿宋_GB2312" w:eastAsia="仿宋_GB2312"/>
        </w:rPr>
        <w:t>5.3.9.磋商小组复核</w:t>
      </w:r>
    </w:p>
    <w:p>
      <w:pPr>
        <w:pStyle w:val="null5"/>
        <w:ind w:firstLine="480"/>
        <w:jc w:val="left"/>
      </w:pPr>
      <w:r>
        <w:rPr>
          <w:rFonts w:ascii="仿宋_GB2312" w:hAnsi="仿宋_GB2312" w:cs="仿宋_GB2312" w:eastAsia="仿宋_GB2312"/>
        </w:rPr>
        <w:t>评审结束后，磋商小组应当进行复核，特别要对拟推荐为成交供应商的、报价最低的、响应文件被认定为无效的进行重点复核。</w:t>
      </w:r>
    </w:p>
    <w:p>
      <w:pPr>
        <w:pStyle w:val="null5"/>
        <w:ind w:firstLine="480"/>
        <w:jc w:val="left"/>
      </w:pPr>
      <w:r>
        <w:rPr>
          <w:rFonts w:ascii="仿宋_GB2312" w:hAnsi="仿宋_GB2312" w:cs="仿宋_GB2312" w:eastAsia="仿宋_GB2312"/>
        </w:rPr>
        <w:t>5.3.10.代理机构现场复核评审结果</w:t>
      </w:r>
    </w:p>
    <w:p>
      <w:pPr>
        <w:pStyle w:val="null5"/>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5"/>
        <w:ind w:firstLine="480"/>
        <w:jc w:val="left"/>
      </w:pPr>
      <w:r>
        <w:rPr>
          <w:rFonts w:ascii="仿宋_GB2312" w:hAnsi="仿宋_GB2312" w:cs="仿宋_GB2312" w:eastAsia="仿宋_GB2312"/>
        </w:rPr>
        <w:t>（一）资格审查认定错误的；</w:t>
      </w:r>
    </w:p>
    <w:p>
      <w:pPr>
        <w:pStyle w:val="null5"/>
        <w:ind w:firstLine="480"/>
        <w:jc w:val="left"/>
      </w:pPr>
      <w:r>
        <w:rPr>
          <w:rFonts w:ascii="仿宋_GB2312" w:hAnsi="仿宋_GB2312" w:cs="仿宋_GB2312" w:eastAsia="仿宋_GB2312"/>
        </w:rPr>
        <w:t>（二）分值汇总计算错误的；</w:t>
      </w:r>
    </w:p>
    <w:p>
      <w:pPr>
        <w:pStyle w:val="null5"/>
        <w:ind w:firstLine="480"/>
        <w:jc w:val="left"/>
      </w:pPr>
      <w:r>
        <w:rPr>
          <w:rFonts w:ascii="仿宋_GB2312" w:hAnsi="仿宋_GB2312" w:cs="仿宋_GB2312" w:eastAsia="仿宋_GB2312"/>
        </w:rPr>
        <w:t>（三）分项评分超出评分标准范围的；</w:t>
      </w:r>
    </w:p>
    <w:p>
      <w:pPr>
        <w:pStyle w:val="null5"/>
        <w:ind w:firstLine="480"/>
        <w:jc w:val="left"/>
      </w:pPr>
      <w:r>
        <w:rPr>
          <w:rFonts w:ascii="仿宋_GB2312" w:hAnsi="仿宋_GB2312" w:cs="仿宋_GB2312" w:eastAsia="仿宋_GB2312"/>
        </w:rPr>
        <w:t>（四）客观评分不一致的。</w:t>
      </w:r>
    </w:p>
    <w:p>
      <w:pPr>
        <w:pStyle w:val="null5"/>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5"/>
        <w:ind w:firstLine="480"/>
        <w:jc w:val="left"/>
      </w:pPr>
      <w:r>
        <w:rPr>
          <w:rFonts w:ascii="仿宋_GB2312" w:hAnsi="仿宋_GB2312" w:cs="仿宋_GB2312" w:eastAsia="仿宋_GB2312"/>
        </w:rPr>
        <w:t>三、代理机构复核过程中，磋商小组成员不得离开评审现场。</w:t>
      </w:r>
    </w:p>
    <w:p>
      <w:pPr>
        <w:pStyle w:val="null5"/>
        <w:ind w:firstLine="480"/>
        <w:jc w:val="left"/>
      </w:pPr>
      <w:r>
        <w:rPr>
          <w:rFonts w:ascii="仿宋_GB2312" w:hAnsi="仿宋_GB2312" w:cs="仿宋_GB2312" w:eastAsia="仿宋_GB2312"/>
        </w:rPr>
        <w:t>四、除资格审查认定错误和价格计算错误外，采购人或者代理机构不得以任何理由组织重新评审。代理机构发现磋商小组未按照磋商文件规定的评定成交的标准进行评审的，应当重新开展采购活动，并同时书面报告项目同级财政部门。</w:t>
      </w:r>
    </w:p>
    <w:p>
      <w:pPr>
        <w:pStyle w:val="null5"/>
        <w:ind w:firstLine="480"/>
        <w:jc w:val="left"/>
      </w:pPr>
      <w:r>
        <w:rPr>
          <w:rFonts w:ascii="仿宋_GB2312" w:hAnsi="仿宋_GB2312" w:cs="仿宋_GB2312" w:eastAsia="仿宋_GB2312"/>
        </w:rPr>
        <w:t>5.3.11.推荐成交候选供应商</w:t>
      </w:r>
    </w:p>
    <w:p>
      <w:pPr>
        <w:pStyle w:val="null5"/>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5"/>
        <w:ind w:firstLine="480"/>
        <w:jc w:val="left"/>
      </w:pPr>
      <w:r>
        <w:rPr>
          <w:rFonts w:ascii="仿宋_GB2312" w:hAnsi="仿宋_GB2312" w:cs="仿宋_GB2312" w:eastAsia="仿宋_GB2312"/>
        </w:rPr>
        <w:t>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按照技术指标得分确定优劣）顺序排列。</w:t>
      </w:r>
    </w:p>
    <w:p>
      <w:pPr>
        <w:pStyle w:val="null5"/>
        <w:ind w:firstLine="480"/>
        <w:jc w:val="both"/>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5"/>
        <w:ind w:firstLine="480"/>
        <w:jc w:val="left"/>
      </w:pPr>
      <w:r>
        <w:rPr>
          <w:rFonts w:ascii="仿宋_GB2312" w:hAnsi="仿宋_GB2312" w:cs="仿宋_GB2312" w:eastAsia="仿宋_GB2312"/>
        </w:rPr>
        <w:t>5.3.12.出具磋商报告</w:t>
      </w:r>
    </w:p>
    <w:p>
      <w:pPr>
        <w:pStyle w:val="null5"/>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5"/>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5"/>
        <w:ind w:firstLine="480"/>
        <w:jc w:val="left"/>
      </w:pPr>
      <w:r>
        <w:rPr>
          <w:rFonts w:ascii="仿宋_GB2312" w:hAnsi="仿宋_GB2312" w:cs="仿宋_GB2312" w:eastAsia="仿宋_GB2312"/>
        </w:rPr>
        <w:t>二、磋商日期和地点，磋商小组成员名单；</w:t>
      </w:r>
    </w:p>
    <w:p>
      <w:pPr>
        <w:pStyle w:val="null5"/>
        <w:ind w:firstLine="480"/>
        <w:jc w:val="left"/>
      </w:pPr>
      <w:r>
        <w:rPr>
          <w:rFonts w:ascii="仿宋_GB2312" w:hAnsi="仿宋_GB2312" w:cs="仿宋_GB2312" w:eastAsia="仿宋_GB2312"/>
        </w:rPr>
        <w:t>三、参加报价的供应商名单及报价情况和未参加报价的供应商名单及原因；</w:t>
      </w:r>
    </w:p>
    <w:p>
      <w:pPr>
        <w:pStyle w:val="null5"/>
        <w:ind w:firstLine="480"/>
        <w:jc w:val="left"/>
      </w:pPr>
      <w:r>
        <w:rPr>
          <w:rFonts w:ascii="仿宋_GB2312" w:hAnsi="仿宋_GB2312" w:cs="仿宋_GB2312" w:eastAsia="仿宋_GB2312"/>
        </w:rPr>
        <w:t>四、变动磋商文件实质性内容的有关资料及记录；</w:t>
      </w:r>
    </w:p>
    <w:p>
      <w:pPr>
        <w:pStyle w:val="null5"/>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5"/>
        <w:ind w:firstLine="480"/>
        <w:jc w:val="left"/>
      </w:pPr>
      <w:r>
        <w:rPr>
          <w:rFonts w:ascii="仿宋_GB2312" w:hAnsi="仿宋_GB2312" w:cs="仿宋_GB2312" w:eastAsia="仿宋_GB2312"/>
        </w:rPr>
        <w:t>六、磋商情况记录和说明，包括对供应商的资格审查情况、供应商响应文件磋商情况等；</w:t>
      </w:r>
    </w:p>
    <w:p>
      <w:pPr>
        <w:pStyle w:val="null5"/>
        <w:ind w:firstLine="480"/>
        <w:jc w:val="left"/>
      </w:pPr>
      <w:r>
        <w:rPr>
          <w:rFonts w:ascii="仿宋_GB2312" w:hAnsi="仿宋_GB2312" w:cs="仿宋_GB2312" w:eastAsia="仿宋_GB2312"/>
        </w:rPr>
        <w:t>七、推荐的成交候选供应商名单及理由。</w:t>
      </w:r>
    </w:p>
    <w:p>
      <w:pPr>
        <w:pStyle w:val="null5"/>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报告上签字或加盖电子印章又不说明其不同意见和理由的，视为同意磋商报告。</w:t>
      </w:r>
    </w:p>
    <w:p>
      <w:pPr>
        <w:pStyle w:val="null5"/>
        <w:ind w:firstLine="480"/>
        <w:jc w:val="left"/>
      </w:pPr>
      <w:r>
        <w:rPr>
          <w:rFonts w:ascii="仿宋_GB2312" w:hAnsi="仿宋_GB2312" w:cs="仿宋_GB2312" w:eastAsia="仿宋_GB2312"/>
        </w:rPr>
        <w:t>5.3.13.评审争议处理规则</w:t>
      </w:r>
    </w:p>
    <w:p>
      <w:pPr>
        <w:pStyle w:val="null5"/>
        <w:ind w:firstLine="480"/>
        <w:jc w:val="left"/>
      </w:pPr>
      <w:r>
        <w:rPr>
          <w:rFonts w:ascii="仿宋_GB2312" w:hAnsi="仿宋_GB2312" w:cs="仿宋_GB2312" w:eastAsia="仿宋_GB2312"/>
        </w:rPr>
        <w:t>磋商小组在磋商过程中，对于资格审查、符合性审查、对响应文件作无效处理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5.4.评审方法、细则及标准</w:t>
      </w:r>
    </w:p>
    <w:p>
      <w:pPr>
        <w:pStyle w:val="null5"/>
        <w:ind w:firstLine="480"/>
        <w:jc w:val="left"/>
      </w:pPr>
      <w:r>
        <w:rPr>
          <w:rFonts w:ascii="仿宋_GB2312" w:hAnsi="仿宋_GB2312" w:cs="仿宋_GB2312" w:eastAsia="仿宋_GB2312"/>
        </w:rPr>
        <w:t>5.4.1.评审方法</w:t>
      </w:r>
    </w:p>
    <w:p>
      <w:pPr>
        <w:pStyle w:val="null5"/>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5.4.2.评审细则及标准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pPr>
            <w:r>
              <w:rPr>
                <w:rFonts w:ascii="仿宋_GB2312" w:hAnsi="仿宋_GB2312" w:cs="仿宋_GB2312" w:eastAsia="仿宋_GB2312"/>
              </w:rPr>
              <w:t>技术部分50.00分</w:t>
            </w:r>
          </w:p>
          <w:p>
            <w:pPr>
              <w:pStyle w:val="null5"/>
            </w:pPr>
            <w:r>
              <w:rPr>
                <w:rFonts w:ascii="仿宋_GB2312" w:hAnsi="仿宋_GB2312" w:cs="仿宋_GB2312" w:eastAsia="仿宋_GB2312"/>
              </w:rPr>
              <w:t>商务部分10.00分</w:t>
            </w:r>
          </w:p>
          <w:p>
            <w:pPr>
              <w:pStyle w:val="null5"/>
            </w:pPr>
            <w:r>
              <w:rPr>
                <w:rFonts w:ascii="仿宋_GB2312" w:hAnsi="仿宋_GB2312" w:cs="仿宋_GB2312" w:eastAsia="仿宋_GB2312"/>
              </w:rPr>
              <w:t>报价得分40.00分</w:t>
            </w:r>
          </w:p>
          <w:p>
            <w:pPr>
              <w:pStyle w:val="null5"/>
            </w:pPr>
            <w:r>
              <w:rPr>
                <w:rFonts w:ascii="仿宋_GB2312" w:hAnsi="仿宋_GB2312" w:cs="仿宋_GB2312" w:eastAsia="仿宋_GB2312"/>
              </w:rPr>
              <w:t>附加分9.00分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pPr>
            <w:r>
              <w:rPr>
                <w:rFonts w:ascii="仿宋_GB2312" w:hAnsi="仿宋_GB2312" w:cs="仿宋_GB2312" w:eastAsia="仿宋_GB2312"/>
              </w:rPr>
              <w:t>技术评审</w:t>
            </w:r>
          </w:p>
        </w:tc>
        <w:tc>
          <w:tcPr>
            <w:tcW w:type="dxa" w:w="1661"/>
          </w:tcPr>
          <w:p>
            <w:pPr>
              <w:pStyle w:val="null5"/>
            </w:pPr>
            <w:r>
              <w:rPr>
                <w:rFonts w:ascii="仿宋_GB2312" w:hAnsi="仿宋_GB2312" w:cs="仿宋_GB2312" w:eastAsia="仿宋_GB2312"/>
              </w:rPr>
              <w:t>产品技术性能及参数</w:t>
            </w:r>
          </w:p>
        </w:tc>
        <w:tc>
          <w:tcPr>
            <w:tcW w:type="dxa" w:w="2575"/>
          </w:tcPr>
          <w:p>
            <w:pPr>
              <w:pStyle w:val="null5"/>
            </w:pPr>
            <w:r>
              <w:rPr>
                <w:rFonts w:ascii="仿宋_GB2312" w:hAnsi="仿宋_GB2312" w:cs="仿宋_GB2312" w:eastAsia="仿宋_GB2312"/>
              </w:rPr>
              <w:t>技术指标响应：根据供应商所报产品的技术标准与参数配置对磋商要求的响应程度以及技术指标的偏离情况进行评审，所报产品的所有参数配置与技术指标无偏离或正偏离得基准分24分；非实质性技术参数中，重要技术参数（带▲号项）每有一项有负偏离的情况，在评审基准分的基础上减1分；其他技术参数（不带▲号项），每有一项有负偏离的情况，在评审基准分的基础上减0.5分，减至0分为止；无此项内容不得分。 注：①技术参数具体偏离情况将以技术偏离表为准，若供应商未填偏离表，或未明确标注偏离情况（无偏离、正偏离、负偏离）的，视为负偏离。 ②具体偏离项须在偏离表中逐条列明，须标明在技术说明中对应页码并以醒目方式标注。 ③带▲号项提供相应功能证明材料（包括但不限于测试报告、官网和功能截图等）。 ④技术参数扣分项为技术参数与性能指标中的每个最末级子项。</w:t>
            </w:r>
          </w:p>
        </w:tc>
        <w:tc>
          <w:tcPr>
            <w:tcW w:type="dxa" w:w="831"/>
          </w:tcPr>
          <w:p>
            <w:pPr>
              <w:pStyle w:val="null5"/>
              <w:jc w:val="center"/>
            </w:pPr>
            <w:r>
              <w:rPr>
                <w:rFonts w:ascii="仿宋_GB2312" w:hAnsi="仿宋_GB2312" w:cs="仿宋_GB2312" w:eastAsia="仿宋_GB2312"/>
              </w:rPr>
              <w:t>24.0000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货物清单（包括产品彩页等）</w:t>
            </w:r>
          </w:p>
          <w:p>
            <w:pPr>
              <w:pStyle w:val="null5"/>
            </w:pPr>
            <w:r>
              <w:rPr>
                <w:rFonts w:ascii="仿宋_GB2312" w:hAnsi="仿宋_GB2312" w:cs="仿宋_GB2312" w:eastAsia="仿宋_GB2312"/>
              </w:rPr>
              <w:t>技术偏离表</w:t>
            </w:r>
          </w:p>
        </w:tc>
      </w:tr>
      <w:tr>
        <w:tc>
          <w:tcPr>
            <w:tcW w:type="dxa" w:w="831"/>
            <w:vMerge/>
          </w:tcPr>
          <w:p/>
        </w:tc>
        <w:tc>
          <w:tcPr>
            <w:tcW w:type="dxa" w:w="1661"/>
          </w:tcPr>
          <w:p>
            <w:pPr>
              <w:pStyle w:val="null5"/>
            </w:pPr>
            <w:r>
              <w:rPr>
                <w:rFonts w:ascii="仿宋_GB2312" w:hAnsi="仿宋_GB2312" w:cs="仿宋_GB2312" w:eastAsia="仿宋_GB2312"/>
              </w:rPr>
              <w:t>供货方案、产品安装和调试方案</w:t>
            </w:r>
          </w:p>
        </w:tc>
        <w:tc>
          <w:tcPr>
            <w:tcW w:type="dxa" w:w="2575"/>
          </w:tcPr>
          <w:p>
            <w:pPr>
              <w:pStyle w:val="null5"/>
            </w:pPr>
            <w:r>
              <w:rPr>
                <w:rFonts w:ascii="仿宋_GB2312" w:hAnsi="仿宋_GB2312" w:cs="仿宋_GB2312" w:eastAsia="仿宋_GB2312"/>
              </w:rPr>
              <w:t>磋商小组成员根据方案响应情况进行综合评审，酌情打分，本项满分6分。存在瑕疵或不足的以0.5分为单位进行扣减，扣完为止；无此项内容不得分。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供货方案、产品安装和调试方案</w:t>
            </w:r>
          </w:p>
        </w:tc>
      </w:tr>
      <w:tr>
        <w:tc>
          <w:tcPr>
            <w:tcW w:type="dxa" w:w="831"/>
            <w:vMerge/>
          </w:tcPr>
          <w:p/>
        </w:tc>
        <w:tc>
          <w:tcPr>
            <w:tcW w:type="dxa" w:w="1661"/>
          </w:tcPr>
          <w:p>
            <w:pPr>
              <w:pStyle w:val="null5"/>
            </w:pPr>
            <w:r>
              <w:rPr>
                <w:rFonts w:ascii="仿宋_GB2312" w:hAnsi="仿宋_GB2312" w:cs="仿宋_GB2312" w:eastAsia="仿宋_GB2312"/>
              </w:rPr>
              <w:t>质量管理措施</w:t>
            </w:r>
          </w:p>
        </w:tc>
        <w:tc>
          <w:tcPr>
            <w:tcW w:type="dxa" w:w="2575"/>
          </w:tcPr>
          <w:p>
            <w:pPr>
              <w:pStyle w:val="null5"/>
            </w:pPr>
            <w:r>
              <w:rPr>
                <w:rFonts w:ascii="仿宋_GB2312" w:hAnsi="仿宋_GB2312" w:cs="仿宋_GB2312" w:eastAsia="仿宋_GB2312"/>
              </w:rPr>
              <w:t>磋商小组成员根据方案响应情况进行综合评审，酌情打分，本项满分5分。存在瑕疵或不足的以0.5分为单位进行扣减，扣完为止；无此项内容不得分。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质量管理措施</w:t>
            </w:r>
          </w:p>
        </w:tc>
      </w:tr>
      <w:tr>
        <w:tc>
          <w:tcPr>
            <w:tcW w:type="dxa" w:w="831"/>
            <w:vMerge/>
          </w:tcPr>
          <w:p/>
        </w:tc>
        <w:tc>
          <w:tcPr>
            <w:tcW w:type="dxa" w:w="1661"/>
          </w:tcPr>
          <w:p>
            <w:pPr>
              <w:pStyle w:val="null5"/>
            </w:pPr>
            <w:r>
              <w:rPr>
                <w:rFonts w:ascii="仿宋_GB2312" w:hAnsi="仿宋_GB2312" w:cs="仿宋_GB2312" w:eastAsia="仿宋_GB2312"/>
              </w:rPr>
              <w:t>风险控制方案</w:t>
            </w:r>
          </w:p>
        </w:tc>
        <w:tc>
          <w:tcPr>
            <w:tcW w:type="dxa" w:w="2575"/>
          </w:tcPr>
          <w:p>
            <w:pPr>
              <w:pStyle w:val="null5"/>
            </w:pPr>
            <w:r>
              <w:rPr>
                <w:rFonts w:ascii="仿宋_GB2312" w:hAnsi="仿宋_GB2312" w:cs="仿宋_GB2312" w:eastAsia="仿宋_GB2312"/>
              </w:rPr>
              <w:t>磋商小组成员根据方案响应情况进行综合评审，酌情打分，本项满分5分。存在瑕疵或不足的以0.5分为单位进行扣减，扣完为止；无此项内容不得分。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风险控制方案</w:t>
            </w:r>
          </w:p>
        </w:tc>
      </w:tr>
      <w:tr>
        <w:tc>
          <w:tcPr>
            <w:tcW w:type="dxa" w:w="831"/>
            <w:vMerge/>
          </w:tcPr>
          <w:p/>
        </w:tc>
        <w:tc>
          <w:tcPr>
            <w:tcW w:type="dxa" w:w="1661"/>
          </w:tcPr>
          <w:p>
            <w:pPr>
              <w:pStyle w:val="null5"/>
            </w:pPr>
            <w:r>
              <w:rPr>
                <w:rFonts w:ascii="仿宋_GB2312" w:hAnsi="仿宋_GB2312" w:cs="仿宋_GB2312" w:eastAsia="仿宋_GB2312"/>
              </w:rPr>
              <w:t>应急处理方案</w:t>
            </w:r>
          </w:p>
        </w:tc>
        <w:tc>
          <w:tcPr>
            <w:tcW w:type="dxa" w:w="2575"/>
          </w:tcPr>
          <w:p>
            <w:pPr>
              <w:pStyle w:val="null5"/>
            </w:pPr>
            <w:r>
              <w:rPr>
                <w:rFonts w:ascii="仿宋_GB2312" w:hAnsi="仿宋_GB2312" w:cs="仿宋_GB2312" w:eastAsia="仿宋_GB2312"/>
              </w:rPr>
              <w:t>磋商小组成员根据方案响应情况进行综合评审，酌情打分，本项满分5分。存在瑕疵或不足的以0.5分为单位进行扣减，扣完为止；无此项内容不得分。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应急处理方案</w:t>
            </w:r>
          </w:p>
        </w:tc>
      </w:tr>
      <w:tr>
        <w:tc>
          <w:tcPr>
            <w:tcW w:type="dxa" w:w="831"/>
            <w:vMerge/>
          </w:tcPr>
          <w:p/>
        </w:tc>
        <w:tc>
          <w:tcPr>
            <w:tcW w:type="dxa" w:w="1661"/>
          </w:tcPr>
          <w:p>
            <w:pPr>
              <w:pStyle w:val="null5"/>
            </w:pPr>
            <w:r>
              <w:rPr>
                <w:rFonts w:ascii="仿宋_GB2312" w:hAnsi="仿宋_GB2312" w:cs="仿宋_GB2312" w:eastAsia="仿宋_GB2312"/>
              </w:rPr>
              <w:t>培训及技术支持方案</w:t>
            </w:r>
          </w:p>
        </w:tc>
        <w:tc>
          <w:tcPr>
            <w:tcW w:type="dxa" w:w="2575"/>
          </w:tcPr>
          <w:p>
            <w:pPr>
              <w:pStyle w:val="null5"/>
            </w:pPr>
            <w:r>
              <w:rPr>
                <w:rFonts w:ascii="仿宋_GB2312" w:hAnsi="仿宋_GB2312" w:cs="仿宋_GB2312" w:eastAsia="仿宋_GB2312"/>
              </w:rPr>
              <w:t>磋商小组成员根据方案响应情况进行综合评审，酌情打分，本项满分5分。存在瑕疵或不足的以0.5分为单位进行扣减，扣完为止；无此项内容不得分。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培训及技术支持方案</w:t>
            </w:r>
          </w:p>
        </w:tc>
      </w:tr>
      <w:tr>
        <w:tc>
          <w:tcPr>
            <w:tcW w:type="dxa" w:w="831"/>
            <w:vMerge w:val="restart"/>
          </w:tcPr>
          <w:p>
            <w:pPr>
              <w:pStyle w:val="null5"/>
            </w:pPr>
            <w:r>
              <w:rPr>
                <w:rFonts w:ascii="仿宋_GB2312" w:hAnsi="仿宋_GB2312" w:cs="仿宋_GB2312" w:eastAsia="仿宋_GB2312"/>
              </w:rPr>
              <w:t>商务评审</w:t>
            </w:r>
          </w:p>
        </w:tc>
        <w:tc>
          <w:tcPr>
            <w:tcW w:type="dxa" w:w="1661"/>
          </w:tcPr>
          <w:p>
            <w:pPr>
              <w:pStyle w:val="null5"/>
            </w:pPr>
            <w:r>
              <w:rPr>
                <w:rFonts w:ascii="仿宋_GB2312" w:hAnsi="仿宋_GB2312" w:cs="仿宋_GB2312" w:eastAsia="仿宋_GB2312"/>
              </w:rPr>
              <w:t>售后服务能力与承诺</w:t>
            </w:r>
          </w:p>
        </w:tc>
        <w:tc>
          <w:tcPr>
            <w:tcW w:type="dxa" w:w="2575"/>
          </w:tcPr>
          <w:p>
            <w:pPr>
              <w:pStyle w:val="null5"/>
            </w:pPr>
            <w:r>
              <w:rPr>
                <w:rFonts w:ascii="仿宋_GB2312" w:hAnsi="仿宋_GB2312" w:cs="仿宋_GB2312" w:eastAsia="仿宋_GB2312"/>
              </w:rPr>
              <w:t>（1）故障支持与解决：1分 供应商提供7×24小时（全天候）响应，接到故障通知后在12小时内到达并解决故障，得1分；供应商提供7×24小时（全天候）响应，接到故障通知后在18小时内到达并解决故障，得0.5分。 （2）供应商承诺所投产品（设备）整体系统质量免费保修（包括人工和部件）、上门服务年限均为4年（含）以上，得1分，否则不得分。 （3）供应商为采购人专门建立备品、备件库，设备（软件）出现故障，需要返厂维修时，提供备品备件的，得1分；否则不得分。 （4）供应商承诺在成交后，提供至少5人到采购人指定地点进行至少5天相关设备使用培训，得1分；供应商承诺在中标后，提供至少3人到采购人指定地点进行至少5天相关设备使用培训，得0.5分；本项最高得1分。不承诺设备使用培训的，不得分。 以上售后服务承诺须按磋商文件编制要求全部编制在响应文件中并加盖供应商电子签章，否则评委不予计分。</w:t>
            </w:r>
          </w:p>
        </w:tc>
        <w:tc>
          <w:tcPr>
            <w:tcW w:type="dxa" w:w="831"/>
          </w:tcPr>
          <w:p>
            <w:pPr>
              <w:pStyle w:val="null5"/>
              <w:jc w:val="center"/>
            </w:pPr>
            <w:r>
              <w:rPr>
                <w:rFonts w:ascii="仿宋_GB2312" w:hAnsi="仿宋_GB2312" w:cs="仿宋_GB2312" w:eastAsia="仿宋_GB2312"/>
              </w:rPr>
              <w:t>4.0000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售后服务能力与承诺</w:t>
            </w:r>
          </w:p>
        </w:tc>
      </w:tr>
      <w:tr>
        <w:tc>
          <w:tcPr>
            <w:tcW w:type="dxa" w:w="831"/>
            <w:vMerge/>
          </w:tcPr>
          <w:p/>
        </w:tc>
        <w:tc>
          <w:tcPr>
            <w:tcW w:type="dxa" w:w="1661"/>
          </w:tcPr>
          <w:p>
            <w:pPr>
              <w:pStyle w:val="null5"/>
            </w:pPr>
            <w:r>
              <w:rPr>
                <w:rFonts w:ascii="仿宋_GB2312" w:hAnsi="仿宋_GB2312" w:cs="仿宋_GB2312" w:eastAsia="仿宋_GB2312"/>
              </w:rPr>
              <w:t>业绩</w:t>
            </w:r>
          </w:p>
        </w:tc>
        <w:tc>
          <w:tcPr>
            <w:tcW w:type="dxa" w:w="2575"/>
          </w:tcPr>
          <w:p>
            <w:pPr>
              <w:pStyle w:val="null5"/>
            </w:pPr>
            <w:r>
              <w:rPr>
                <w:rFonts w:ascii="仿宋_GB2312" w:hAnsi="仿宋_GB2312" w:cs="仿宋_GB2312" w:eastAsia="仿宋_GB2312"/>
              </w:rPr>
              <w:t>供应商自2023年1月1日以来（以合同签订日期为准）承担或完成的类似业绩（类似业绩是指：至少包含核心产品且核心产品技术性能与本项目采购需求相同或类似），每提供一项得1分，本项最高得3分。[注：以上打分以单个采购合同为准，不重复累计；得分以该项最高得分为准，不重复加分] 类似业绩必须同时提供以下材料否则不得分：①采购合同扫描件②验收证明材料。 以上资料中所涉及的项目名称、采购内容、合同金额应相符，否则，磋商小组一律不予认可。提供资料不全或不符合磋商文件要求的，磋商一律不予认可。 供应商提供的以上业绩资料扫描件须按磋商文件编制要求全部编制在响应文件中并加盖供应商电子签章。评标时由磋商小组进行评审，否则一律不予认可。</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业绩一览表及证明材料</w:t>
            </w:r>
          </w:p>
        </w:tc>
      </w:tr>
      <w:tr>
        <w:tc>
          <w:tcPr>
            <w:tcW w:type="dxa" w:w="831"/>
            <w:vMerge/>
          </w:tcPr>
          <w:p/>
        </w:tc>
        <w:tc>
          <w:tcPr>
            <w:tcW w:type="dxa" w:w="1661"/>
          </w:tcPr>
          <w:p>
            <w:pPr>
              <w:pStyle w:val="null5"/>
            </w:pPr>
            <w:r>
              <w:rPr>
                <w:rFonts w:ascii="仿宋_GB2312" w:hAnsi="仿宋_GB2312" w:cs="仿宋_GB2312" w:eastAsia="仿宋_GB2312"/>
              </w:rPr>
              <w:t>全生命周期成本</w:t>
            </w:r>
          </w:p>
        </w:tc>
        <w:tc>
          <w:tcPr>
            <w:tcW w:type="dxa" w:w="2575"/>
          </w:tcPr>
          <w:p>
            <w:pPr>
              <w:pStyle w:val="null5"/>
            </w:pPr>
            <w:r>
              <w:rPr>
                <w:rFonts w:ascii="仿宋_GB2312" w:hAnsi="仿宋_GB2312" w:cs="仿宋_GB2312" w:eastAsia="仿宋_GB2312"/>
              </w:rPr>
              <w:t>对成本构成、金额及计算依据等全生命周期成本进行评价，本项最高得3分。每有一处瑕疵或不完善扣0.5分，扣完为止，缺项不得分。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项目全生命周期成分分析</w:t>
            </w:r>
          </w:p>
        </w:tc>
      </w:tr>
      <w:tr>
        <w:tc>
          <w:tcPr>
            <w:tcW w:type="dxa" w:w="831"/>
          </w:tcPr>
          <w:p>
            <w:pPr>
              <w:pStyle w:val="null5"/>
            </w:pPr>
            <w:r>
              <w:rPr>
                <w:rFonts w:ascii="仿宋_GB2312" w:hAnsi="仿宋_GB2312" w:cs="仿宋_GB2312" w:eastAsia="仿宋_GB2312"/>
              </w:rPr>
              <w:t>异常低价审查</w:t>
            </w:r>
          </w:p>
        </w:tc>
        <w:tc>
          <w:tcPr>
            <w:tcW w:type="dxa" w:w="1661"/>
          </w:tcPr>
          <w:p>
            <w:pPr>
              <w:pStyle w:val="null5"/>
            </w:pPr>
            <w:r>
              <w:rPr>
                <w:rFonts w:ascii="仿宋_GB2312" w:hAnsi="仿宋_GB2312" w:cs="仿宋_GB2312" w:eastAsia="仿宋_GB2312"/>
              </w:rPr>
              <w:t>异常低价审查</w:t>
            </w:r>
          </w:p>
        </w:tc>
        <w:tc>
          <w:tcPr>
            <w:tcW w:type="dxa" w:w="2575"/>
          </w:tcPr>
          <w:p>
            <w:pPr>
              <w:pStyle w:val="null5"/>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（1）地震仪器响应报价低于全部通过符合性审查供应商响应报价平均值50%的，即地震仪器响应报价&lt;全部通过符合性审查供应商响应报价平均值×50%。 （2）地震仪器响应报价低于通过符合性审查且报价次低供应商响应报价50%的，即地震仪器响应报价&lt;通过符合性审查且报价次低供应商响应报价×50%。 （3）地震仪器响应报价低于最高限价45%的，即地震仪器响应报价&lt;最高限价×45%。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包括但不限于原材料成本、人工成本、制造费用等，给予相关供应商的合理时间一般不少于30分钟。其中，属于第3项情形，供应商已随响应文件一并提交相关书面说明及必要的证明材料的，在评审现场可不再重复提交。 评审委员会依据专业经验，参考同类项目中标价格、类似产品市场价格水平、行业人工费用标准、国家有关部门指导行业协会发布的行业平均成本等情况，对报价合理性进行判断。供应商不能提供书面说明、证明材料，或者提供的书面说明、证明材料不能证明其报价合理性的，评审委员会应当将其作为无效投标处理。 书面说明及必要的证明材料应包含：①提供销售发票、合同或其他证明材料等以证明供应商的报价及执行情况；②成本构成。包含项目内容的本身成本、人工费、拟配备设备及材料费、税金等所有费用的说明。 供应商可根据以上规定提前备好说明和证明材料，以备及时提交评审委员会。 评审委员会启动异常低价投标（响应）审查后，应当要求相关供应商在评审现场合理的时间内提供书面说明及必要的证明材料，对投标（响应）价格作出解释。 评审委员会启动异常低价投标（响应）审查后，应当要求相关供应商在评审现场合理的时间内提供书面说明及必要的证明材料，对投标（响应）价格作出解释。</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tc>
      </w:tr>
      <w:tr>
        <w:tc>
          <w:tcPr>
            <w:tcW w:type="dxa" w:w="831"/>
          </w:tcPr>
          <w:p>
            <w:pPr>
              <w:pStyle w:val="null5"/>
            </w:pPr>
            <w:r>
              <w:rPr>
                <w:rFonts w:ascii="仿宋_GB2312" w:hAnsi="仿宋_GB2312" w:cs="仿宋_GB2312" w:eastAsia="仿宋_GB2312"/>
              </w:rPr>
              <w:t>价格评审</w:t>
            </w:r>
          </w:p>
        </w:tc>
        <w:tc>
          <w:tcPr>
            <w:tcW w:type="dxa" w:w="1661"/>
          </w:tcPr>
          <w:p>
            <w:pPr>
              <w:pStyle w:val="null5"/>
            </w:pPr>
            <w:r>
              <w:rPr>
                <w:rFonts w:ascii="仿宋_GB2312" w:hAnsi="仿宋_GB2312" w:cs="仿宋_GB2312" w:eastAsia="仿宋_GB2312"/>
              </w:rPr>
              <w:t>投标价格得分</w:t>
            </w:r>
          </w:p>
        </w:tc>
        <w:tc>
          <w:tcPr>
            <w:tcW w:type="dxa" w:w="2575"/>
          </w:tcPr>
          <w:p>
            <w:pPr>
              <w:pStyle w:val="null5"/>
            </w:pPr>
            <w:r>
              <w:rPr>
                <w:rFonts w:ascii="仿宋_GB2312" w:hAnsi="仿宋_GB2312" w:cs="仿宋_GB2312" w:eastAsia="仿宋_GB2312"/>
              </w:rPr>
              <w:t>采购人在评标办法中确定价格分值占总分值的比重（权重）为40%（即价格权值为40%）。本采购项目按照低价优先法计算报价得分，即满足磋商文件要求且磋商价格最低的磋商报价为磋商基准价，其价格分为满分。其他供应商的价格分值统一按照下列公式计算：磋商报价得分=（磋商基准价/磋商报价）×价格权值×100。供应商磋商报价得分按“四舍五入”精确到小数点后两位。磋商报价最高限价与评标基准价之间为投标报价有效范围。</w:t>
            </w:r>
          </w:p>
        </w:tc>
        <w:tc>
          <w:tcPr>
            <w:tcW w:type="dxa" w:w="831"/>
          </w:tcPr>
          <w:p>
            <w:pPr>
              <w:pStyle w:val="null5"/>
              <w:jc w:val="center"/>
            </w:pPr>
            <w:r>
              <w:rPr>
                <w:rFonts w:ascii="仿宋_GB2312" w:hAnsi="仿宋_GB2312" w:cs="仿宋_GB2312" w:eastAsia="仿宋_GB2312"/>
              </w:rPr>
              <w:t>40.0000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tc>
      </w:tr>
      <w:tr>
        <w:tc>
          <w:tcPr>
            <w:tcW w:type="dxa" w:w="831"/>
          </w:tcPr>
          <w:p>
            <w:pPr>
              <w:pStyle w:val="null5"/>
            </w:pPr>
            <w:r>
              <w:rPr>
                <w:rFonts w:ascii="仿宋_GB2312" w:hAnsi="仿宋_GB2312" w:cs="仿宋_GB2312" w:eastAsia="仿宋_GB2312"/>
              </w:rPr>
              <w:t>附加分</w:t>
            </w:r>
          </w:p>
        </w:tc>
        <w:tc>
          <w:tcPr>
            <w:tcW w:type="dxa" w:w="1661"/>
          </w:tcPr>
          <w:p>
            <w:pPr>
              <w:pStyle w:val="null5"/>
            </w:pPr>
            <w:r>
              <w:rPr>
                <w:rFonts w:ascii="仿宋_GB2312" w:hAnsi="仿宋_GB2312" w:cs="仿宋_GB2312" w:eastAsia="仿宋_GB2312"/>
              </w:rPr>
              <w:t>节能、环保评分项</w:t>
            </w:r>
          </w:p>
        </w:tc>
        <w:tc>
          <w:tcPr>
            <w:tcW w:type="dxa" w:w="2575"/>
          </w:tcPr>
          <w:p>
            <w:pPr>
              <w:pStyle w:val="null5"/>
            </w:pPr>
            <w:r>
              <w:rPr>
                <w:rFonts w:ascii="仿宋_GB2312" w:hAnsi="仿宋_GB2312" w:cs="仿宋_GB2312" w:eastAsia="仿宋_GB2312"/>
              </w:rPr>
              <w:t>1.若响应的货物为品⽬清单内的节能或环境标志产品（不含品⽬清单强制采购范围产品），在其报价分值基础上分别根据节能或环境标志产品占最后总报价相应⽐例加分，计算公式如下：报价部分加分=【（节能产品报价＋环境标志产品报价）/总报价】×价格评审总分值40×5%。 2.若响应的货物为品⽬清单内的节能或环境标志产品（不含品⽬清单强制采购范围产品），在其技术分值基础上分别根据节能或环境标志产品占最后总报价相应⽐例加分，计算公式如下：技术部分加分=【（节能产品报价＋环境标志产品报价）/总报价】×技术评审总分值50×5%。</w:t>
            </w:r>
          </w:p>
        </w:tc>
        <w:tc>
          <w:tcPr>
            <w:tcW w:type="dxa" w:w="831"/>
          </w:tcPr>
          <w:p>
            <w:pPr>
              <w:pStyle w:val="null5"/>
              <w:jc w:val="center"/>
            </w:pPr>
            <w:r>
              <w:rPr>
                <w:rFonts w:ascii="仿宋_GB2312" w:hAnsi="仿宋_GB2312" w:cs="仿宋_GB2312" w:eastAsia="仿宋_GB2312"/>
              </w:rPr>
              <w:t>9.0000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节能、环境产品</w:t>
            </w:r>
          </w:p>
        </w:tc>
      </w:tr>
    </w:tbl>
    <w:p>
      <w:pPr>
        <w:pStyle w:val="null5"/>
        <w:ind w:firstLine="480"/>
        <w:jc w:val="left"/>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15.00%</w:t>
            </w:r>
          </w:p>
        </w:tc>
        <w:tc>
          <w:tcPr>
            <w:tcW w:type="dxa" w:w="1661"/>
          </w:tcPr>
          <w:p>
            <w:pPr>
              <w:pStyle w:val="null5"/>
              <w:jc w:val="left"/>
            </w:pPr>
            <w:r>
              <w:rPr>
                <w:rFonts w:ascii="仿宋_GB2312" w:hAnsi="仿宋_GB2312" w:cs="仿宋_GB2312" w:eastAsia="仿宋_GB2312"/>
              </w:rPr>
              <w:t>确定磋商基准价、计算磋商报价得分、确定磋商报价有效范围过程中，对所投产品均属于小型和微型企业产品且符合本磋商文件约定的价格扣除条件的投标报价，以扣除15%后的价格作为该供应商的投标报价进行计算和比较。 《政府采购促进中小企业发展管理办法》（财库〔2020〕46号）和《关于印发中小企业划型标准规定的通知》（工信部联企业〔2011〕300号文件）规定提供内容符合条件的《中小企业声明函》（详见附件）作为计算价格扣除的依据。 根据《财政部、司法部关于政府采购支持监狱企业发展有关问题的通知》（财库【2014】68号），在政府采购活动中，监狱企业视同小型、微型企业。监狱企业参加政府采购活动时，应当提供由省级以上监狱管理局、戒毒管理局（含新疆生产建设兵团）出具的属于监狱企业的证明文件（详见附件），其生产的产品视同小型、微型企业产品。 按照《财政部 民政部 中国残疾人联合会关于促进残疾人就业政府采购政策的通知》（财库【2017】141号）规定属于残疾人福利性单位的，提供《残疾人福利性单位声明函》（详见附件），其生产的产品视同小型、微型企业产品。残疾人福利性单位属于小型、微型企业的，不重复享受政策。 （《中小企业声明函》、监狱企业的证明文件、《残疾人福利性单位声明函》等须按磋商文件要求编入响应文件中并加盖供应商电子签章，否则不予认可。）</w:t>
            </w:r>
          </w:p>
        </w:tc>
        <w:tc>
          <w:tcPr>
            <w:tcW w:type="dxa" w:w="1910"/>
          </w:tcPr>
          <w:p>
            <w:pPr>
              <w:pStyle w:val="null5"/>
              <w:jc w:val="left"/>
            </w:pPr>
            <w:r>
              <w:rPr>
                <w:rFonts w:ascii="仿宋_GB2312" w:hAnsi="仿宋_GB2312" w:cs="仿宋_GB2312" w:eastAsia="仿宋_GB2312"/>
              </w:rPr>
              <w:t>中小企业声明函、监狱企业证明函、残疾人福利性单位声明函</w:t>
            </w:r>
          </w:p>
        </w:tc>
      </w:tr>
      <w:tr>
        <w:tc>
          <w:tcPr>
            <w:tcW w:type="dxa" w:w="58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实施本国产品标准</w:t>
            </w:r>
          </w:p>
        </w:tc>
        <w:tc>
          <w:tcPr>
            <w:tcW w:type="dxa" w:w="1661"/>
          </w:tcPr>
          <w:p>
            <w:pPr>
              <w:pStyle w:val="null5"/>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本国产品相关价格扣除： 根据《国务院办公厅关于在政府采购中实施本国产品标准及相关政策的通知》（国办发〔2025〕34号）的规定： （1）当采购项⽬或者采购包中为单⼀产品时：投标⼈对其提供的产品出具符合要求的《关于符合本国产品标准的声明函》（格式详⻅附件）或财政部会同有关部⻔规定的有关证明⽂件的，该产品视为本国产品，对本国产品的报价给予20%的价格扣除，⽤扣除后的价格参与评审。 （2）当采购项⽬或者采购包中为多种产品时：投标⼈为该采购项⽬或者采购包提供的符合本国产品标准的产品成本之和占该投标⼈提供的全部产品成本之和的⽐例达到80%（以提供产品成本占⽐承诺函为准）以上且投标⼈其提供的本国产品出具符合要求的《关于符合本国产品标准的声明函》（格式详⻅附件）或财政部会同有关部⻔规定的有关证明⽂件的，依法对该投标⼈提供的全部产品给予价格评审优惠，即对该投标⼈提供的全部产品的总报价给予20%的价格扣除，⽤扣除后的价格参与评审。 注：（1）相关价格评审扣除优惠，均应该在投标⼈原始报价基础上计算。（2）下列产品不适⽤本国产品标准：房屋和构筑物；⽂物、陈列品、图书、档案；特种动植物；农林牧渔初级产品；矿与矿物；电⼒、燃⽓、热⼒、⽔；⻝品、饮料及烟草原料；⽆形资产。（3）仅有本国产品参与竞争的政府采购项⽬，不执⾏价格扣除。</w:t>
            </w:r>
          </w:p>
        </w:tc>
        <w:tc>
          <w:tcPr>
            <w:tcW w:type="dxa" w:w="1910"/>
          </w:tcPr>
          <w:p>
            <w:pPr>
              <w:pStyle w:val="null5"/>
              <w:jc w:val="left"/>
            </w:pPr>
            <w:r>
              <w:rPr>
                <w:rFonts w:ascii="仿宋_GB2312" w:hAnsi="仿宋_GB2312" w:cs="仿宋_GB2312" w:eastAsia="仿宋_GB2312"/>
              </w:rPr>
              <w:t>关于符合本国产品标准的声明函、产品成本占比承诺函</w:t>
            </w:r>
          </w:p>
        </w:tc>
      </w:tr>
    </w:tbl>
    <w:p>
      <w:pPr>
        <w:pStyle w:val="null5"/>
        <w:ind w:firstLine="480"/>
        <w:jc w:val="left"/>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（1）地震仪器响应报价低于全部通过符合性审查供应商响应报价平均值50%的，即地震仪器响应报价&lt;全部通过符合性审查供应商响应报价平均值×50%。</w:t>
              <w:br/>
              <w:t>（2）地震仪器响应报价低于通过符合性审查且报价次低供应商响应报价50%的，即地震仪器响应报价&lt;通过符合性审查且报价次低供应商响应报价×50%。</w:t>
              <w:br/>
              <w:t>（3）地震仪器响应报价低于最高限价45%的，即地震仪器响应报价&lt;最高限价×45%。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包括但不限于原材料成本、人工成本、制造费用等，给予相关供应商的合理时间一般不少于30分钟。其中，属于第3项情形，供应商已随响应文件一并提交相关书面说明及必要的证明材料的，在评审现场可不再重复提交。 评审委员会依据专业经验，参考同类项目中标价格、类似产品市场价格水平、行业人工费用标准、国家有关部门指导行业协会发布的行业平均成本等情况，对报价合理性进行判断。供应商不能提供书面说明、证明材料，或者提供的书面说明、证明材料不能证明其报价合理性的，评审委员会应当将其作为无效投标处理。 书面说明及必要的证明材料应包含：①提供销售发票、合同或其他证明材料等以证明供应商的报价及执行情况；②成本构成。包含项目内容的本身成本、人工费、拟配备设备及材料费、税金等所有费用的说明。 供应商可根据以上规定提前备好说明和证明材料，以备及时提交评审委员会。 评审委员会启动异常低价投标（响应）审查后，应当要求相关供应商在评审现场合理的时间内提供书面说明及必要的证明材料，对投标（响应）价格作出解释。</w:t>
              <w:br/>
              <w:t>评审委员会启动异常低价投标（响应）审查后，应当要求相关供应商在评审现场合理的时间内提供书面说明及必要的证明材料，对投标（响应）价格作出解释。</w:t>
            </w:r>
          </w:p>
        </w:tc>
      </w:tr>
    </w:tbl>
    <w:p>
      <w:pPr>
        <w:pStyle w:val="null5"/>
        <w:ind w:firstLine="480"/>
        <w:jc w:val="left"/>
      </w:pPr>
      <w:r>
        <w:rPr>
          <w:rFonts w:ascii="仿宋_GB2312" w:hAnsi="仿宋_GB2312" w:cs="仿宋_GB2312" w:eastAsia="仿宋_GB2312"/>
        </w:rPr>
        <w:t>本国产品</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1038"/>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地震仪器</w:t>
            </w:r>
          </w:p>
        </w:tc>
        <w:tc>
          <w:tcPr>
            <w:tcW w:type="dxa" w:w="3115"/>
          </w:tcPr>
          <w:p>
            <w:pPr>
              <w:pStyle w:val="null5"/>
              <w:jc w:val="left"/>
            </w:pPr>
            <w:r>
              <w:rPr>
                <w:rFonts w:ascii="仿宋_GB2312" w:hAnsi="仿宋_GB2312" w:cs="仿宋_GB2312" w:eastAsia="仿宋_GB2312"/>
              </w:rPr>
              <w:t>地震采集系统等</w:t>
            </w:r>
          </w:p>
        </w:tc>
        <w:tc>
          <w:tcPr>
            <w:tcW w:type="dxa" w:w="2076"/>
          </w:tcPr>
          <w:p>
            <w:pPr>
              <w:pStyle w:val="null5"/>
              <w:jc w:val="left"/>
            </w:pPr>
            <w:r>
              <w:rPr>
                <w:rFonts w:ascii="仿宋_GB2312" w:hAnsi="仿宋_GB2312" w:cs="仿宋_GB2312" w:eastAsia="仿宋_GB2312"/>
              </w:rPr>
              <w:t>地震采集系统（核心产品）、高密度电法仪、质子磁力仪</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5.5.终止采购活动</w:t>
      </w:r>
    </w:p>
    <w:p>
      <w:pPr>
        <w:pStyle w:val="null5"/>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5"/>
        <w:ind w:firstLine="480"/>
        <w:jc w:val="left"/>
      </w:pPr>
      <w:r>
        <w:rPr>
          <w:rFonts w:ascii="仿宋_GB2312" w:hAnsi="仿宋_GB2312" w:cs="仿宋_GB2312" w:eastAsia="仿宋_GB2312"/>
        </w:rPr>
        <w:t>一 、因情况变化，不再符合规定的竞争性磋商采购方式适用情形的；</w:t>
      </w:r>
    </w:p>
    <w:p>
      <w:pPr>
        <w:pStyle w:val="null5"/>
        <w:ind w:firstLine="480"/>
        <w:jc w:val="left"/>
      </w:pPr>
      <w:r>
        <w:rPr>
          <w:rFonts w:ascii="仿宋_GB2312" w:hAnsi="仿宋_GB2312" w:cs="仿宋_GB2312" w:eastAsia="仿宋_GB2312"/>
        </w:rPr>
        <w:t>二、出现影响采购公正的违法、违规行为的；</w:t>
      </w:r>
    </w:p>
    <w:p>
      <w:pPr>
        <w:pStyle w:val="null5"/>
        <w:ind w:firstLine="480"/>
        <w:jc w:val="left"/>
      </w:pPr>
      <w:r>
        <w:rPr>
          <w:rFonts w:ascii="仿宋_GB2312" w:hAnsi="仿宋_GB2312" w:cs="仿宋_GB2312" w:eastAsia="仿宋_GB2312"/>
        </w:rPr>
        <w:t>三、在采购过程中符合竞争要求的供应商或者报价未超过采购预算的供应商不足 3 家的，但《政府采购非招标采购方式管理办法》第二十七条第二款规定的情形除外。</w:t>
      </w:r>
    </w:p>
    <w:p>
      <w:pPr>
        <w:pStyle w:val="null5"/>
        <w:ind w:firstLine="480"/>
        <w:jc w:val="left"/>
        <w:outlineLvl w:val="2"/>
      </w:pPr>
      <w:r>
        <w:rPr>
          <w:rFonts w:ascii="仿宋_GB2312" w:hAnsi="仿宋_GB2312" w:cs="仿宋_GB2312" w:eastAsia="仿宋_GB2312"/>
          <w:sz w:val="28"/>
          <w:b/>
        </w:rPr>
        <w:t>5.6.确定成交供应商</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left"/>
        <w:outlineLvl w:val="2"/>
      </w:pPr>
      <w:r>
        <w:rPr>
          <w:rFonts w:ascii="仿宋_GB2312" w:hAnsi="仿宋_GB2312" w:cs="仿宋_GB2312" w:eastAsia="仿宋_GB2312"/>
          <w:sz w:val="28"/>
          <w:b/>
        </w:rPr>
        <w:t>5.7.磋商小组义务</w:t>
      </w:r>
    </w:p>
    <w:p>
      <w:pPr>
        <w:pStyle w:val="null5"/>
        <w:ind w:firstLine="480"/>
        <w:jc w:val="left"/>
      </w:pPr>
      <w:r>
        <w:rPr>
          <w:rFonts w:ascii="仿宋_GB2312" w:hAnsi="仿宋_GB2312" w:cs="仿宋_GB2312" w:eastAsia="仿宋_GB2312"/>
        </w:rPr>
        <w:t>磋商小组在政府采购活动中应当履行下列义务：</w:t>
      </w:r>
    </w:p>
    <w:p>
      <w:pPr>
        <w:pStyle w:val="null5"/>
        <w:ind w:firstLine="480"/>
        <w:jc w:val="left"/>
      </w:pPr>
      <w:r>
        <w:rPr>
          <w:rFonts w:ascii="仿宋_GB2312" w:hAnsi="仿宋_GB2312" w:cs="仿宋_GB2312" w:eastAsia="仿宋_GB2312"/>
        </w:rPr>
        <w:t>一、遵守评审工作纪律；</w:t>
      </w:r>
    </w:p>
    <w:p>
      <w:pPr>
        <w:pStyle w:val="null5"/>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三、不得泄露评审文件、评审情况和在评审过程中获悉的商业秘密；</w:t>
      </w:r>
    </w:p>
    <w:p>
      <w:pPr>
        <w:pStyle w:val="null5"/>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5"/>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5"/>
        <w:ind w:firstLine="480"/>
        <w:jc w:val="left"/>
      </w:pPr>
      <w:r>
        <w:rPr>
          <w:rFonts w:ascii="仿宋_GB2312" w:hAnsi="仿宋_GB2312" w:cs="仿宋_GB2312" w:eastAsia="仿宋_GB2312"/>
        </w:rPr>
        <w:t>六、配合答复处理供应商的询问、质疑和投诉等事项；</w:t>
      </w:r>
    </w:p>
    <w:p>
      <w:pPr>
        <w:pStyle w:val="null5"/>
        <w:ind w:firstLine="480"/>
        <w:jc w:val="left"/>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5.8.磋商小组成员工作纪律</w:t>
      </w:r>
    </w:p>
    <w:p>
      <w:pPr>
        <w:pStyle w:val="null5"/>
        <w:ind w:firstLine="480"/>
        <w:jc w:val="left"/>
      </w:pPr>
      <w:r>
        <w:rPr>
          <w:rFonts w:ascii="仿宋_GB2312" w:hAnsi="仿宋_GB2312" w:cs="仿宋_GB2312" w:eastAsia="仿宋_GB2312"/>
        </w:rPr>
        <w:t>磋商小组成员在政府采购活动中应当遵守下列工作纪律：</w:t>
      </w:r>
    </w:p>
    <w:p>
      <w:pPr>
        <w:pStyle w:val="null5"/>
        <w:ind w:firstLine="480"/>
        <w:jc w:val="left"/>
      </w:pPr>
      <w:r>
        <w:rPr>
          <w:rFonts w:ascii="仿宋_GB2312" w:hAnsi="仿宋_GB2312" w:cs="仿宋_GB2312" w:eastAsia="仿宋_GB2312"/>
        </w:rPr>
        <w:t>一、严格遵守政府采购法律制度关于磋商小组成员回避的规定。</w:t>
      </w:r>
    </w:p>
    <w:p>
      <w:pPr>
        <w:pStyle w:val="null5"/>
        <w:ind w:firstLine="480"/>
        <w:jc w:val="left"/>
      </w:pPr>
      <w:r>
        <w:rPr>
          <w:rFonts w:ascii="仿宋_GB2312" w:hAnsi="仿宋_GB2312" w:cs="仿宋_GB2312" w:eastAsia="仿宋_GB2312"/>
        </w:rPr>
        <w:t>二、评审前，应当将通讯工具或者相关电子设备交由代理机构统一保管。</w:t>
      </w:r>
    </w:p>
    <w:p>
      <w:pPr>
        <w:pStyle w:val="null5"/>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5"/>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left"/>
      </w:pPr>
      <w:r>
        <w:rPr>
          <w:rFonts w:ascii="仿宋_GB2312" w:hAnsi="仿宋_GB2312" w:cs="仿宋_GB2312" w:eastAsia="仿宋_GB2312"/>
        </w:rPr>
        <w:t>六、服从评审现场代理机构的现场秩序管理，接受评审现场监督人员的合法监督。</w:t>
      </w:r>
    </w:p>
    <w:p>
      <w:pPr>
        <w:pStyle w:val="null5"/>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详见附件：响应函</w:t>
      </w:r>
    </w:p>
    <w:p>
      <w:pPr>
        <w:pStyle w:val="null5"/>
        <w:ind w:firstLine="960"/>
        <w:jc w:val="left"/>
      </w:pPr>
      <w:r>
        <w:rPr>
          <w:rFonts w:ascii="仿宋_GB2312" w:hAnsi="仿宋_GB2312" w:cs="仿宋_GB2312" w:eastAsia="仿宋_GB2312"/>
        </w:rPr>
        <w:t>详见附件：节能、环境产品</w:t>
      </w:r>
    </w:p>
    <w:p>
      <w:pPr>
        <w:pStyle w:val="null5"/>
        <w:ind w:firstLine="960"/>
        <w:jc w:val="left"/>
      </w:pPr>
      <w:r>
        <w:rPr>
          <w:rFonts w:ascii="仿宋_GB2312" w:hAnsi="仿宋_GB2312" w:cs="仿宋_GB2312" w:eastAsia="仿宋_GB2312"/>
        </w:rPr>
        <w:t>详见附件：不参与串通投标承诺书</w:t>
      </w:r>
    </w:p>
    <w:p>
      <w:pPr>
        <w:pStyle w:val="null5"/>
        <w:ind w:firstLine="960"/>
        <w:jc w:val="left"/>
      </w:pPr>
      <w:r>
        <w:rPr>
          <w:rFonts w:ascii="仿宋_GB2312" w:hAnsi="仿宋_GB2312" w:cs="仿宋_GB2312" w:eastAsia="仿宋_GB2312"/>
        </w:rPr>
        <w:t>详见附件：法定代表人身份证明、法定代表人授权委托书</w:t>
      </w:r>
    </w:p>
    <w:p>
      <w:pPr>
        <w:pStyle w:val="null5"/>
        <w:ind w:firstLine="960"/>
        <w:jc w:val="left"/>
      </w:pPr>
      <w:r>
        <w:rPr>
          <w:rFonts w:ascii="仿宋_GB2312" w:hAnsi="仿宋_GB2312" w:cs="仿宋_GB2312" w:eastAsia="仿宋_GB2312"/>
        </w:rPr>
        <w:t>详见附件：质量管理措施</w:t>
      </w:r>
    </w:p>
    <w:p>
      <w:pPr>
        <w:pStyle w:val="null5"/>
        <w:ind w:firstLine="960"/>
        <w:jc w:val="left"/>
      </w:pPr>
      <w:r>
        <w:rPr>
          <w:rFonts w:ascii="仿宋_GB2312" w:hAnsi="仿宋_GB2312" w:cs="仿宋_GB2312" w:eastAsia="仿宋_GB2312"/>
        </w:rPr>
        <w:t>详见附件：业绩一览表及证明材料</w:t>
      </w:r>
    </w:p>
    <w:p>
      <w:pPr>
        <w:pStyle w:val="null5"/>
        <w:ind w:firstLine="960"/>
        <w:jc w:val="left"/>
      </w:pPr>
      <w:r>
        <w:rPr>
          <w:rFonts w:ascii="仿宋_GB2312" w:hAnsi="仿宋_GB2312" w:cs="仿宋_GB2312" w:eastAsia="仿宋_GB2312"/>
        </w:rPr>
        <w:t>详见附件：售后服务能力与承诺</w:t>
      </w:r>
    </w:p>
    <w:p>
      <w:pPr>
        <w:pStyle w:val="null5"/>
        <w:ind w:firstLine="960"/>
        <w:jc w:val="left"/>
      </w:pPr>
      <w:r>
        <w:rPr>
          <w:rFonts w:ascii="仿宋_GB2312" w:hAnsi="仿宋_GB2312" w:cs="仿宋_GB2312" w:eastAsia="仿宋_GB2312"/>
        </w:rPr>
        <w:t>详见附件：项目全生命周期成分分析</w:t>
      </w:r>
    </w:p>
    <w:p>
      <w:pPr>
        <w:pStyle w:val="null5"/>
        <w:ind w:firstLine="960"/>
        <w:jc w:val="left"/>
      </w:pPr>
      <w:r>
        <w:rPr>
          <w:rFonts w:ascii="仿宋_GB2312" w:hAnsi="仿宋_GB2312" w:cs="仿宋_GB2312" w:eastAsia="仿宋_GB2312"/>
        </w:rPr>
        <w:t>详见附件：关于符合本国产品标准的声明函、产品成本占比承诺函</w:t>
      </w:r>
    </w:p>
    <w:p>
      <w:pPr>
        <w:pStyle w:val="null5"/>
        <w:ind w:firstLine="960"/>
        <w:jc w:val="left"/>
      </w:pPr>
      <w:r>
        <w:rPr>
          <w:rFonts w:ascii="仿宋_GB2312" w:hAnsi="仿宋_GB2312" w:cs="仿宋_GB2312" w:eastAsia="仿宋_GB2312"/>
        </w:rPr>
        <w:t>详见附件：产品均为原厂正品承诺函</w:t>
      </w:r>
    </w:p>
    <w:p>
      <w:pPr>
        <w:pStyle w:val="null5"/>
        <w:ind w:firstLine="960"/>
        <w:jc w:val="left"/>
      </w:pPr>
      <w:r>
        <w:rPr>
          <w:rFonts w:ascii="仿宋_GB2312" w:hAnsi="仿宋_GB2312" w:cs="仿宋_GB2312" w:eastAsia="仿宋_GB2312"/>
        </w:rPr>
        <w:t>详见附件：中小企业声明函、监狱企业证明函、残疾人福利性单位声明函</w:t>
      </w:r>
    </w:p>
    <w:p>
      <w:pPr>
        <w:pStyle w:val="null5"/>
        <w:ind w:firstLine="960"/>
        <w:jc w:val="left"/>
      </w:pPr>
      <w:r>
        <w:rPr>
          <w:rFonts w:ascii="仿宋_GB2312" w:hAnsi="仿宋_GB2312" w:cs="仿宋_GB2312" w:eastAsia="仿宋_GB2312"/>
        </w:rPr>
        <w:t>详见附件：供应商认为需要提交的其他文件</w:t>
      </w:r>
    </w:p>
    <w:p>
      <w:pPr>
        <w:pStyle w:val="null5"/>
        <w:ind w:firstLine="960"/>
        <w:jc w:val="left"/>
      </w:pPr>
      <w:r>
        <w:rPr>
          <w:rFonts w:ascii="仿宋_GB2312" w:hAnsi="仿宋_GB2312" w:cs="仿宋_GB2312" w:eastAsia="仿宋_GB2312"/>
        </w:rPr>
        <w:t>详见附件：货物清单（包括产品彩页等）</w:t>
      </w:r>
    </w:p>
    <w:p>
      <w:pPr>
        <w:pStyle w:val="null5"/>
        <w:ind w:firstLine="960"/>
        <w:jc w:val="left"/>
      </w:pPr>
      <w:r>
        <w:rPr>
          <w:rFonts w:ascii="仿宋_GB2312" w:hAnsi="仿宋_GB2312" w:cs="仿宋_GB2312" w:eastAsia="仿宋_GB2312"/>
        </w:rPr>
        <w:t>详见附件：技术偏离表</w:t>
      </w:r>
    </w:p>
    <w:p>
      <w:pPr>
        <w:pStyle w:val="null5"/>
        <w:ind w:firstLine="960"/>
        <w:jc w:val="left"/>
      </w:pPr>
      <w:r>
        <w:rPr>
          <w:rFonts w:ascii="仿宋_GB2312" w:hAnsi="仿宋_GB2312" w:cs="仿宋_GB2312" w:eastAsia="仿宋_GB2312"/>
        </w:rPr>
        <w:t>详见附件：供货方案、产品安装和调试方案</w:t>
      </w:r>
    </w:p>
    <w:p>
      <w:pPr>
        <w:pStyle w:val="null5"/>
        <w:ind w:firstLine="960"/>
        <w:jc w:val="left"/>
      </w:pPr>
      <w:r>
        <w:rPr>
          <w:rFonts w:ascii="仿宋_GB2312" w:hAnsi="仿宋_GB2312" w:cs="仿宋_GB2312" w:eastAsia="仿宋_GB2312"/>
        </w:rPr>
        <w:t>详见附件：商务偏离表</w:t>
      </w:r>
    </w:p>
    <w:p>
      <w:pPr>
        <w:pStyle w:val="null5"/>
        <w:ind w:firstLine="960"/>
        <w:jc w:val="left"/>
      </w:pPr>
      <w:r>
        <w:rPr>
          <w:rFonts w:ascii="仿宋_GB2312" w:hAnsi="仿宋_GB2312" w:cs="仿宋_GB2312" w:eastAsia="仿宋_GB2312"/>
        </w:rPr>
        <w:t>详见附件：风险控制方案</w:t>
      </w:r>
    </w:p>
    <w:p>
      <w:pPr>
        <w:pStyle w:val="null5"/>
        <w:ind w:firstLine="960"/>
        <w:jc w:val="left"/>
      </w:pPr>
      <w:r>
        <w:rPr>
          <w:rFonts w:ascii="仿宋_GB2312" w:hAnsi="仿宋_GB2312" w:cs="仿宋_GB2312" w:eastAsia="仿宋_GB2312"/>
        </w:rPr>
        <w:t>详见附件：应急处理方案</w:t>
      </w:r>
    </w:p>
    <w:p>
      <w:pPr>
        <w:pStyle w:val="null5"/>
        <w:ind w:firstLine="960"/>
        <w:jc w:val="left"/>
      </w:pPr>
      <w:r>
        <w:rPr>
          <w:rFonts w:ascii="仿宋_GB2312" w:hAnsi="仿宋_GB2312" w:cs="仿宋_GB2312" w:eastAsia="仿宋_GB2312"/>
        </w:rPr>
        <w:t>详见附件：培训及技术支持方案</w:t>
      </w:r>
    </w:p>
    <w:p>
      <w:pPr>
        <w:pStyle w:val="null5"/>
        <w:ind w:firstLine="960"/>
        <w:jc w:val="left"/>
      </w:pPr>
      <w:r>
        <w:rPr>
          <w:rFonts w:ascii="仿宋_GB2312" w:hAnsi="仿宋_GB2312" w:cs="仿宋_GB2312" w:eastAsia="仿宋_GB2312"/>
        </w:rPr>
        <w:t>详见附件：资格证明文件</w:t>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详见附件：政府采购履约验收书参考样本、山东省政府采购合同范本.docx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