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山东石油化工学院羽毛球馆更换木地板(二次)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SDGP370000000202602007442-1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山东鲁正工程咨询有限公司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山东鲁正工程咨询有限公司</w:t>
      </w:r>
      <w:r>
        <w:rPr>
          <w:rFonts w:ascii="仿宋_GB2312" w:hAnsi="仿宋_GB2312" w:cs="仿宋_GB2312" w:eastAsia="仿宋_GB2312"/>
        </w:rPr>
        <w:t>（以下简称“代理机构”）受</w:t>
      </w:r>
      <w:r>
        <w:rPr>
          <w:rFonts w:ascii="仿宋_GB2312" w:hAnsi="仿宋_GB2312" w:cs="仿宋_GB2312" w:eastAsia="仿宋_GB2312"/>
        </w:rPr>
        <w:t>山东石油化工学院</w:t>
      </w:r>
      <w:r>
        <w:rPr>
          <w:rFonts w:ascii="仿宋_GB2312" w:hAnsi="仿宋_GB2312" w:cs="仿宋_GB2312" w:eastAsia="仿宋_GB2312"/>
        </w:rPr>
        <w:t>以下简称“采购人”)委托，对</w:t>
      </w:r>
      <w:r>
        <w:rPr>
          <w:rFonts w:ascii="仿宋_GB2312" w:hAnsi="仿宋_GB2312" w:cs="仿宋_GB2312" w:eastAsia="仿宋_GB2312"/>
        </w:rPr>
        <w:t>山东石油化工学院羽毛球馆更换木地板(二次)</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w:t>
      </w:r>
      <w:r>
        <w:rPr>
          <w:rFonts w:ascii="仿宋_GB2312" w:hAnsi="仿宋_GB2312" w:cs="仿宋_GB2312" w:eastAsia="仿宋_GB2312"/>
          <w:sz w:val="28"/>
          <w:b/>
        </w:rPr>
        <w:t>SDGP370000000202602007442-1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w:t>
      </w:r>
      <w:r>
        <w:rPr>
          <w:rFonts w:ascii="仿宋_GB2312" w:hAnsi="仿宋_GB2312" w:cs="仿宋_GB2312" w:eastAsia="仿宋_GB2312"/>
          <w:sz w:val="28"/>
          <w:b/>
        </w:rPr>
        <w:t>山东石油化工学院羽毛球馆更换木地板(二次)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内容主要包括：羽毛球馆部分地板更换。具体内容详见工程量清单及图纸。</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3、供应商具有履行合同所必需的设备和专业技术能力：具有履行政府采购合同所必需的设备和专业技术能力声明函，（提供原件扫描件或复印件加盖公章）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企业资质要求：具有有效的建筑工程施工总承包二级（含）以上资质证书或建筑工程施工总承包乙级（含）以上资质证书，具有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p>
      <w:pPr>
        <w:pStyle w:val="null5"/>
        <w:jc w:val="left"/>
      </w:pPr>
      <w:r>
        <w:rPr>
          <w:rFonts w:ascii="仿宋_GB2312" w:hAnsi="仿宋_GB2312" w:cs="仿宋_GB2312" w:eastAsia="仿宋_GB2312"/>
        </w:rPr>
        <w:t>2、项目经理资质：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both"/>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一、提交响应文件截止时间及开启时间、方式、地点：详见采购公告。</w:t>
      </w:r>
    </w:p>
    <w:p>
      <w:pPr>
        <w:pStyle w:val="null5"/>
        <w:ind w:firstLine="480"/>
        <w:jc w:val="both"/>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山东鲁正工程咨询有限公司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东营经济技术开发区光谷未来城57号楼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257091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徐少华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0546-8333557、13165460100</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采购包1：306,057.62元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采购包1：不收取</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山东鲁正工程咨询有限公司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山东鲁正工程咨询有限公司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按照合同条款和项目需求，由招标人进行验收，参照《山东省政府采购履约验收管理办法》</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按照合同条款和项目需求，由招标人进行验收，参照《山东省政府采购履约验收管理办法》。</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联系人：徐少华</w:t>
      </w:r>
    </w:p>
    <w:p>
      <w:pPr>
        <w:pStyle w:val="null5"/>
        <w:jc w:val="left"/>
      </w:pPr>
      <w:r>
        <w:rPr>
          <w:rFonts w:ascii="仿宋_GB2312" w:hAnsi="仿宋_GB2312" w:cs="仿宋_GB2312" w:eastAsia="仿宋_GB2312"/>
        </w:rPr>
        <w:t>联系电话：13165460100</w:t>
      </w:r>
    </w:p>
    <w:p>
      <w:pPr>
        <w:pStyle w:val="null5"/>
        <w:jc w:val="left"/>
      </w:pPr>
      <w:r>
        <w:rPr>
          <w:rFonts w:ascii="仿宋_GB2312" w:hAnsi="仿宋_GB2312" w:cs="仿宋_GB2312" w:eastAsia="仿宋_GB2312"/>
        </w:rPr>
        <w:t>地址：东营经济技术开发区光谷未来城57号楼</w:t>
      </w:r>
    </w:p>
    <w:p>
      <w:pPr>
        <w:pStyle w:val="null5"/>
        <w:jc w:val="left"/>
      </w:pPr>
      <w:r>
        <w:rPr>
          <w:rFonts w:ascii="仿宋_GB2312" w:hAnsi="仿宋_GB2312" w:cs="仿宋_GB2312" w:eastAsia="仿宋_GB2312"/>
        </w:rPr>
        <w:t>邮编：257091</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306,057.62</w:t>
      </w:r>
    </w:p>
    <w:p>
      <w:pPr>
        <w:pStyle w:val="null5"/>
        <w:jc w:val="left"/>
      </w:pPr>
      <w:r>
        <w:rPr>
          <w:rFonts w:ascii="仿宋_GB2312" w:hAnsi="仿宋_GB2312" w:cs="仿宋_GB2312" w:eastAsia="仿宋_GB2312"/>
        </w:rPr>
        <w:t>采购包最高限价（元）: 306,057.62</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羽毛球馆更换木地板</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306,057.62</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羽毛球馆更换木地板</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元</w:t>
            </w:r>
          </w:p>
        </w:tc>
        <w:tc>
          <w:tcPr>
            <w:tcW w:type="dxa" w:w="1384"/>
          </w:tcPr>
          <w:p>
            <w:pPr>
              <w:pStyle w:val="null5"/>
              <w:jc w:val="right"/>
            </w:pPr>
            <w:r>
              <w:rPr>
                <w:rFonts w:ascii="仿宋_GB2312" w:hAnsi="仿宋_GB2312" w:cs="仿宋_GB2312" w:eastAsia="仿宋_GB2312"/>
                <w:b/>
              </w:rPr>
              <w:t>306,057.62</w:t>
            </w:r>
          </w:p>
        </w:tc>
        <w:tc>
          <w:tcPr>
            <w:tcW w:type="dxa" w:w="1384"/>
          </w:tcPr>
          <w:p>
            <w:pPr>
              <w:pStyle w:val="null5"/>
              <w:jc w:val="left"/>
            </w:pPr>
            <w:r>
              <w:rPr>
                <w:rFonts w:ascii="仿宋_GB2312" w:hAnsi="仿宋_GB2312" w:cs="仿宋_GB2312" w:eastAsia="仿宋_GB2312"/>
                <w:b/>
              </w:rPr>
              <w:t>总价</w:t>
            </w:r>
          </w:p>
        </w:tc>
        <w:tc>
          <w:tcPr>
            <w:tcW w:type="dxa" w:w="1038"/>
          </w:tcPr>
          <w:p>
            <w:pPr>
              <w:pStyle w:val="null5"/>
              <w:jc w:val="left"/>
            </w:pPr>
            <w:r>
              <w:rPr>
                <w:rFonts w:ascii="仿宋_GB2312" w:hAnsi="仿宋_GB2312" w:cs="仿宋_GB2312" w:eastAsia="仿宋_GB2312"/>
                <w:b/>
              </w:rPr>
              <w:t>无</w:t>
            </w:r>
          </w:p>
        </w:tc>
      </w:tr>
    </w:tbl>
    <w:p>
      <w:pPr>
        <w:pStyle w:val="null5"/>
        <w:jc w:val="left"/>
      </w:pPr>
      <w:r>
        <w:rPr>
          <w:rFonts w:ascii="仿宋_GB2312" w:hAnsi="仿宋_GB2312" w:cs="仿宋_GB2312" w:eastAsia="仿宋_GB2312"/>
          <w:b/>
        </w:rPr>
        <w:t>（2）报价明细要求：</w:t>
      </w:r>
    </w:p>
    <w:p>
      <w:pPr>
        <w:pStyle w:val="null5"/>
        <w:jc w:val="left"/>
      </w:pPr>
      <w:r>
        <w:rPr>
          <w:rFonts w:ascii="仿宋_GB2312" w:hAnsi="仿宋_GB2312" w:cs="仿宋_GB2312" w:eastAsia="仿宋_GB2312"/>
          <w:b/>
        </w:rPr>
        <w:t>羽毛球馆更换木地板</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b/>
              </w:rPr>
              <w:t>序号</w:t>
            </w:r>
          </w:p>
        </w:tc>
        <w:tc>
          <w:tcPr>
            <w:tcW w:type="dxa" w:w="2076"/>
          </w:tcPr>
          <w:p>
            <w:pPr>
              <w:pStyle w:val="null5"/>
              <w:jc w:val="left"/>
            </w:pPr>
            <w:r>
              <w:rPr>
                <w:rFonts w:ascii="仿宋_GB2312" w:hAnsi="仿宋_GB2312" w:cs="仿宋_GB2312" w:eastAsia="仿宋_GB2312"/>
                <w:b/>
              </w:rPr>
              <w:t>报价明细内容</w:t>
            </w:r>
          </w:p>
        </w:tc>
        <w:tc>
          <w:tcPr>
            <w:tcW w:type="dxa" w:w="2076"/>
          </w:tcPr>
          <w:p>
            <w:pPr>
              <w:pStyle w:val="null5"/>
              <w:jc w:val="left"/>
            </w:pPr>
            <w:r>
              <w:rPr>
                <w:rFonts w:ascii="仿宋_GB2312" w:hAnsi="仿宋_GB2312" w:cs="仿宋_GB2312" w:eastAsia="仿宋_GB2312"/>
                <w:b/>
              </w:rPr>
              <w:t>报价要求</w:t>
            </w:r>
          </w:p>
        </w:tc>
        <w:tc>
          <w:tcPr>
            <w:tcW w:type="dxa" w:w="415"/>
          </w:tcPr>
          <w:p>
            <w:pPr>
              <w:pStyle w:val="null5"/>
              <w:jc w:val="left"/>
            </w:pPr>
            <w:r>
              <w:rPr>
                <w:rFonts w:ascii="仿宋_GB2312" w:hAnsi="仿宋_GB2312" w:cs="仿宋_GB2312" w:eastAsia="仿宋_GB2312"/>
                <w:b/>
              </w:rPr>
              <w:t>计量单位</w:t>
            </w:r>
          </w:p>
        </w:tc>
        <w:tc>
          <w:tcPr>
            <w:tcW w:type="dxa" w:w="415"/>
          </w:tcPr>
          <w:p>
            <w:pPr>
              <w:pStyle w:val="null5"/>
              <w:jc w:val="left"/>
            </w:pPr>
            <w:r>
              <w:rPr>
                <w:rFonts w:ascii="仿宋_GB2312" w:hAnsi="仿宋_GB2312" w:cs="仿宋_GB2312" w:eastAsia="仿宋_GB2312"/>
                <w:b/>
              </w:rPr>
              <w:t>报价单位</w:t>
            </w:r>
          </w:p>
        </w:tc>
        <w:tc>
          <w:tcPr>
            <w:tcW w:type="dxa" w:w="831"/>
          </w:tcPr>
          <w:p>
            <w:pPr>
              <w:pStyle w:val="null5"/>
              <w:jc w:val="left"/>
            </w:pPr>
            <w:r>
              <w:rPr>
                <w:rFonts w:ascii="仿宋_GB2312" w:hAnsi="仿宋_GB2312" w:cs="仿宋_GB2312" w:eastAsia="仿宋_GB2312"/>
                <w:b/>
              </w:rPr>
              <w:t>最高限价</w:t>
            </w:r>
          </w:p>
        </w:tc>
        <w:tc>
          <w:tcPr>
            <w:tcW w:type="dxa" w:w="831"/>
          </w:tcPr>
          <w:p>
            <w:pPr>
              <w:pStyle w:val="null5"/>
              <w:jc w:val="left"/>
            </w:pPr>
            <w:r>
              <w:rPr>
                <w:rFonts w:ascii="仿宋_GB2312" w:hAnsi="仿宋_GB2312" w:cs="仿宋_GB2312" w:eastAsia="仿宋_GB2312"/>
                <w:b/>
              </w:rPr>
              <w:t>价款形式</w:t>
            </w:r>
          </w:p>
        </w:tc>
        <w:tc>
          <w:tcPr>
            <w:tcW w:type="dxa" w:w="1246"/>
          </w:tcPr>
          <w:p>
            <w:pPr>
              <w:pStyle w:val="null5"/>
              <w:jc w:val="left"/>
            </w:pPr>
            <w:r>
              <w:rPr>
                <w:rFonts w:ascii="仿宋_GB2312" w:hAnsi="仿宋_GB2312" w:cs="仿宋_GB2312" w:eastAsia="仿宋_GB2312"/>
                <w:b/>
              </w:rPr>
              <w:t>报价说明</w:t>
            </w:r>
          </w:p>
        </w:tc>
      </w:tr>
      <w:tr>
        <w:tc>
          <w:tcPr>
            <w:tcW w:type="dxa" w:w="415"/>
          </w:tcPr>
          <w:p>
            <w:pPr>
              <w:pStyle w:val="null5"/>
              <w:jc w:val="left"/>
            </w:pPr>
            <w:r>
              <w:rPr>
                <w:rFonts w:ascii="仿宋_GB2312" w:hAnsi="仿宋_GB2312" w:cs="仿宋_GB2312" w:eastAsia="仿宋_GB2312"/>
                <w:b/>
              </w:rPr>
              <w:t>1</w:t>
            </w:r>
          </w:p>
        </w:tc>
        <w:tc>
          <w:tcPr>
            <w:tcW w:type="dxa" w:w="2076"/>
          </w:tcPr>
          <w:p>
            <w:pPr>
              <w:pStyle w:val="null5"/>
              <w:jc w:val="left"/>
            </w:pPr>
            <w:r>
              <w:rPr>
                <w:rFonts w:ascii="仿宋_GB2312" w:hAnsi="仿宋_GB2312" w:cs="仿宋_GB2312" w:eastAsia="仿宋_GB2312"/>
                <w:b/>
              </w:rPr>
              <w:t>羽毛球馆更换木地板</w:t>
            </w:r>
          </w:p>
        </w:tc>
        <w:tc>
          <w:tcPr>
            <w:tcW w:type="dxa" w:w="2076"/>
          </w:tcPr>
          <w:p>
            <w:pPr>
              <w:pStyle w:val="null5"/>
              <w:jc w:val="left"/>
            </w:pPr>
            <w:r>
              <w:rPr>
                <w:rFonts w:ascii="仿宋_GB2312" w:hAnsi="仿宋_GB2312" w:cs="仿宋_GB2312" w:eastAsia="仿宋_GB2312"/>
                <w:b/>
              </w:rPr>
              <w:t>羽毛球馆更换木地板</w:t>
            </w:r>
          </w:p>
        </w:tc>
        <w:tc>
          <w:tcPr>
            <w:tcW w:type="dxa" w:w="415"/>
          </w:tcPr>
          <w:p>
            <w:pPr>
              <w:pStyle w:val="null5"/>
              <w:jc w:val="left"/>
            </w:pPr>
            <w:r>
              <w:rPr>
                <w:rFonts w:ascii="仿宋_GB2312" w:hAnsi="仿宋_GB2312" w:cs="仿宋_GB2312" w:eastAsia="仿宋_GB2312"/>
                <w:b/>
              </w:rPr>
              <w:t>项</w:t>
            </w:r>
          </w:p>
        </w:tc>
        <w:tc>
          <w:tcPr>
            <w:tcW w:type="dxa" w:w="415"/>
          </w:tcPr>
          <w:p>
            <w:pPr>
              <w:pStyle w:val="null5"/>
              <w:jc w:val="left"/>
            </w:pPr>
            <w:r>
              <w:rPr>
                <w:rFonts w:ascii="仿宋_GB2312" w:hAnsi="仿宋_GB2312" w:cs="仿宋_GB2312" w:eastAsia="仿宋_GB2312"/>
                <w:b/>
              </w:rPr>
              <w:t>元</w:t>
            </w:r>
          </w:p>
        </w:tc>
        <w:tc>
          <w:tcPr>
            <w:tcW w:type="dxa" w:w="831"/>
          </w:tcPr>
          <w:p>
            <w:pPr>
              <w:pStyle w:val="null5"/>
              <w:jc w:val="right"/>
            </w:pPr>
            <w:r>
              <w:rPr>
                <w:rFonts w:ascii="仿宋_GB2312" w:hAnsi="仿宋_GB2312" w:cs="仿宋_GB2312" w:eastAsia="仿宋_GB2312"/>
                <w:b/>
              </w:rPr>
              <w:t>306,057.62</w:t>
            </w:r>
          </w:p>
        </w:tc>
        <w:tc>
          <w:tcPr>
            <w:tcW w:type="dxa" w:w="831"/>
          </w:tcPr>
          <w:p>
            <w:pPr>
              <w:pStyle w:val="null5"/>
              <w:jc w:val="left"/>
            </w:pPr>
            <w:r>
              <w:rPr>
                <w:rFonts w:ascii="仿宋_GB2312" w:hAnsi="仿宋_GB2312" w:cs="仿宋_GB2312" w:eastAsia="仿宋_GB2312"/>
                <w:b/>
              </w:rPr>
              <w:t>总价</w:t>
            </w:r>
          </w:p>
        </w:tc>
        <w:tc>
          <w:tcPr>
            <w:tcW w:type="dxa" w:w="1246"/>
          </w:tcPr>
          <w:p>
            <w:pPr>
              <w:pStyle w:val="null5"/>
              <w:jc w:val="left"/>
            </w:pPr>
            <w:r>
              <w:rPr>
                <w:rFonts w:ascii="仿宋_GB2312" w:hAnsi="仿宋_GB2312" w:cs="仿宋_GB2312" w:eastAsia="仿宋_GB2312"/>
                <w:b/>
              </w:rPr>
              <w:t>无</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标的名称：羽毛球馆更换木地板</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绿建需求标准</w:t>
            </w:r>
          </w:p>
        </w:tc>
        <w:tc>
          <w:tcPr>
            <w:tcW w:type="dxa" w:w="2076"/>
          </w:tcPr>
          <w:p>
            <w:pPr>
              <w:pStyle w:val="null5"/>
              <w:jc w:val="left"/>
            </w:pPr>
            <w:r>
              <w:rPr>
                <w:rFonts w:ascii="仿宋_GB2312" w:hAnsi="仿宋_GB2312" w:cs="仿宋_GB2312" w:eastAsia="仿宋_GB2312"/>
                <w:sz w:val="21"/>
              </w:rPr>
              <w:t>本项目选取的建材产品应符合《绿色建筑和绿色建材政府采购需求标准》（</w:t>
            </w:r>
            <w:r>
              <w:rPr>
                <w:rFonts w:ascii="仿宋_GB2312" w:hAnsi="仿宋_GB2312" w:cs="仿宋_GB2312" w:eastAsia="仿宋_GB2312"/>
                <w:sz w:val="21"/>
              </w:rPr>
              <w:t>2025版）的指标要求，未列入需求标准的应参考绿色建筑、绿色建材等相关标准要求。</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sz w:val="21"/>
              </w:rPr>
              <w:t>按照磋商文件、图纸、工程量清单及国家规定施工。</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采购范围</w:t>
            </w:r>
          </w:p>
        </w:tc>
        <w:tc>
          <w:tcPr>
            <w:tcW w:type="dxa" w:w="4153"/>
          </w:tcPr>
          <w:p>
            <w:pPr>
              <w:pStyle w:val="null5"/>
              <w:jc w:val="left"/>
            </w:pPr>
            <w:r>
              <w:rPr>
                <w:rFonts w:ascii="仿宋_GB2312" w:hAnsi="仿宋_GB2312" w:cs="仿宋_GB2312" w:eastAsia="仿宋_GB2312"/>
              </w:rPr>
              <w:t>羽毛球馆更换木地板。具体内容详见工程量清单及图纸。</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工期要求：自合同签订之日起20日内完成工程量清单及图纸内的全部工程。</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工程地点：山东石油化工学院院内。</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质量要求：合格。</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安全目标：合格</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承包方式：包工包料</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合同支付约定：合同项下工程验收合格后，供应商按照采购人要求提供发票，待出具工程结算报告后，采购人于60个工作日内支付完成工程结算审计值的80%，下一年度支付至工程结算审计值的 97%，质保期满拨款剩余3%。</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合同履行期限：自本项目签订合同之日起至质量保修期结束。</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工程质量保修期：</w:t>
              <w:br/>
              <w:t>本项目按照国家《建设工程质量管理条例》中有关规定实行保修，具体约定质量保修期如下：</w:t>
              <w:br/>
              <w:t>1、屋面防水工程、有防水要求的卫生间、房间和外墙面的防渗漏，为5年；</w:t>
              <w:br/>
              <w:t>2、供热及供冷系统工程为2个采暖期及供冷期；</w:t>
              <w:br/>
              <w:t>3、电气管线、给排水管道、设备安装和装修工程为2年；</w:t>
              <w:br/>
              <w:t>4、装饰装修工程2年；</w:t>
              <w:br/>
              <w:t>5、其他约定：本工程其他项目保修期为2年。</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政府采购工程项目使用的建材属于《需求标准》明确为“必选类”的，应当全部采购和使用符合相关标准的绿色建材；属于《需求标准》明确为“可选类”的，选用绿色建材种类应不低于建筑项目涉及建材种类的40%。 2、供应商结合市场情况，自主确定工程报价。 ①各供应商可以参照执行相关工程定额、取费标准及建设行政主管部门有关工程造价的规定，结合本单位的技术力量、管理水平、经济效益等因素，以统一工程量清单为依据计算工程预算价并确定工程磋商报价，供应商在确定工程报价时，不得弄虚作假，骗取成交。报价包括：材料价款、运输费、装卸费、施工费、施工中的运输费、检测费、水电费、税费等一切费用均由施工方自负，直至工程竣工验收合格的全部价款，在报价时一并测算在内。 ②供应商必须严格按照采购代理机构下发的统一工程量清单内容及格式提供综合单价及总价，否则，按无效响应文件处理。 3、合同金额以最终报价为准，分项报价根据总报价下浮比例【（基础报价-最终报价）/基础报价】同比下调。本项目为固定单价结算，工程量据实结算。 4、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5、本项目共两轮报价，第一轮为磋商前基础报价，第二轮报价为磋商后最终报价。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rPr>
        <w:t>详见第三章</w:t>
      </w:r>
      <w:r>
        <w:rPr>
          <w:rFonts w:ascii="仿宋_GB2312" w:hAnsi="仿宋_GB2312" w:cs="仿宋_GB2312" w:eastAsia="仿宋_GB2312"/>
        </w:rPr>
        <w:t>“技术、服务及其他要求”中“3.2.技术要求”，“3.3.服务要求 ”非带“★”实质性要求。</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rPr>
        <w:t>详见第七章</w:t>
      </w:r>
      <w:r>
        <w:rPr>
          <w:rFonts w:ascii="仿宋_GB2312" w:hAnsi="仿宋_GB2312" w:cs="仿宋_GB2312" w:eastAsia="仿宋_GB2312"/>
        </w:rPr>
        <w:t>“拟签订采购合同文本”。</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供应商企业资质要求</w:t>
            </w:r>
          </w:p>
        </w:tc>
        <w:tc>
          <w:tcPr>
            <w:tcW w:type="dxa" w:w="3322"/>
          </w:tcPr>
          <w:p>
            <w:pPr>
              <w:pStyle w:val="null5"/>
              <w:jc w:val="left"/>
            </w:pPr>
            <w:r>
              <w:rPr>
                <w:rFonts w:ascii="仿宋_GB2312" w:hAnsi="仿宋_GB2312" w:cs="仿宋_GB2312" w:eastAsia="仿宋_GB2312"/>
              </w:rPr>
              <w:t>具有有效的建筑工程施工总承包二级（含）以上资质证书或建筑工程施工总承包乙级（含）以上资质证书，具有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项目经理资质</w:t>
            </w:r>
          </w:p>
        </w:tc>
        <w:tc>
          <w:tcPr>
            <w:tcW w:type="dxa" w:w="3322"/>
          </w:tcPr>
          <w:p>
            <w:pPr>
              <w:pStyle w:val="null5"/>
              <w:jc w:val="left"/>
            </w:pPr>
            <w:r>
              <w:rPr>
                <w:rFonts w:ascii="仿宋_GB2312" w:hAnsi="仿宋_GB2312" w:cs="仿宋_GB2312" w:eastAsia="仿宋_GB2312"/>
              </w:rPr>
              <w:t>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商务偏离表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投标（响应）报价明细表、开标（报价）一览表、工程量清单报价</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按要求提供响应函、不参与串通投标承诺书、法定代表人身份证明、法定代表人授权委托书（委托代理人的须提供）、投标（响应）报价明细表、开标（报价）一览表、农民工工资无拖欠承诺书、商务偏离表</w:t>
            </w:r>
          </w:p>
        </w:tc>
        <w:tc>
          <w:tcPr>
            <w:tcW w:type="dxa" w:w="1661"/>
          </w:tcPr>
          <w:p>
            <w:pPr>
              <w:pStyle w:val="null5"/>
              <w:jc w:val="left"/>
            </w:pPr>
            <w:r>
              <w:rPr>
                <w:rFonts w:ascii="仿宋_GB2312" w:hAnsi="仿宋_GB2312" w:cs="仿宋_GB2312" w:eastAsia="仿宋_GB2312"/>
              </w:rPr>
              <w:t>投标（响应）报价明细表、开标（报价）一览表、商务偏离表、农民工工资无拖欠承诺书、不参与串通投标承诺书、法定代表人身份证明、法定代表人授权委托书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投标（响应）报价明细表、开标（报价）一览表、工程量清单报价</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封面、企业基本概况、供应商认为需要提交的其他商务文件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投标（响应）报价明细表、开标（报价）一览表、工程量清单报价</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资格证明文件、节能环保政策、投标（响应）报价明细表、开标（报价）一览表、封面、响应函、不参与串通投标承诺书、法定代表人身份证明、法定代表人授权委托书</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技术部分82.00分</w:t>
            </w:r>
          </w:p>
          <w:p>
            <w:pPr>
              <w:pStyle w:val="null5"/>
              <w:jc w:val="left"/>
            </w:pPr>
            <w:r>
              <w:rPr>
                <w:rFonts w:ascii="仿宋_GB2312" w:hAnsi="仿宋_GB2312" w:cs="仿宋_GB2312" w:eastAsia="仿宋_GB2312"/>
              </w:rPr>
              <w:t>商务部分8.00分</w:t>
            </w:r>
          </w:p>
          <w:p>
            <w:pPr>
              <w:pStyle w:val="null5"/>
              <w:jc w:val="left"/>
            </w:pPr>
            <w:r>
              <w:rPr>
                <w:rFonts w:ascii="仿宋_GB2312" w:hAnsi="仿宋_GB2312" w:cs="仿宋_GB2312" w:eastAsia="仿宋_GB2312"/>
              </w:rPr>
              <w:t>报价得分10.00分</w:t>
            </w:r>
          </w:p>
          <w:p>
            <w:pPr>
              <w:pStyle w:val="null5"/>
              <w:jc w:val="left"/>
            </w:pPr>
            <w:r>
              <w:rPr>
                <w:rFonts w:ascii="仿宋_GB2312" w:hAnsi="仿宋_GB2312" w:cs="仿宋_GB2312" w:eastAsia="仿宋_GB2312"/>
              </w:rPr>
              <w:t>附加分9.20分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w:t>
            </w:r>
          </w:p>
        </w:tc>
        <w:tc>
          <w:tcPr>
            <w:tcW w:type="dxa" w:w="2575"/>
          </w:tcPr>
          <w:p>
            <w:pPr>
              <w:pStyle w:val="null5"/>
              <w:jc w:val="left"/>
            </w:pPr>
            <w:r>
              <w:rPr>
                <w:rFonts w:ascii="仿宋_GB2312" w:hAnsi="仿宋_GB2312" w:cs="仿宋_GB2312" w:eastAsia="仿宋_GB2312"/>
              </w:rPr>
              <w:t>磋商小组根据施工方案及降低工程造价的主要措施进行综合评审，酌情打分，本项满分12分。存在瑕疵或不足的以0.5分为单位进行扣减，扣完为止。无此项内容的，本项得0分。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施工方案</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磋商小组根据项目部人员的组织管理机构、岗位设置情况、专业搭配进行综合评审，酌情打分，本项满分12分。存在瑕疵或不足的以0.5分为单位进行扣减，扣完为止。无此项内容的，本项得0分。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项目管理班子配备</w:t>
            </w:r>
          </w:p>
        </w:tc>
      </w:tr>
      <w:tr>
        <w:tc>
          <w:tcPr>
            <w:tcW w:type="dxa" w:w="831"/>
            <w:vMerge/>
          </w:tcPr>
          <w:p/>
        </w:tc>
        <w:tc>
          <w:tcPr>
            <w:tcW w:type="dxa" w:w="1661"/>
          </w:tcPr>
          <w:p>
            <w:pPr>
              <w:pStyle w:val="null5"/>
              <w:jc w:val="left"/>
            </w:pPr>
            <w:r>
              <w:rPr>
                <w:rFonts w:ascii="仿宋_GB2312" w:hAnsi="仿宋_GB2312" w:cs="仿宋_GB2312" w:eastAsia="仿宋_GB2312"/>
              </w:rPr>
              <w:t>质量保证措施</w:t>
            </w:r>
          </w:p>
        </w:tc>
        <w:tc>
          <w:tcPr>
            <w:tcW w:type="dxa" w:w="2575"/>
          </w:tcPr>
          <w:p>
            <w:pPr>
              <w:pStyle w:val="null5"/>
              <w:jc w:val="left"/>
            </w:pPr>
            <w:r>
              <w:rPr>
                <w:rFonts w:ascii="仿宋_GB2312" w:hAnsi="仿宋_GB2312" w:cs="仿宋_GB2312" w:eastAsia="仿宋_GB2312"/>
              </w:rPr>
              <w:t>磋商小组根据确保工程质量的技术组织措施进行综合评审，酌情打分，本项满分12分。存在瑕疵或不足的以0.5分为单位进行扣减，扣完为止。无此项内容的，本项得0分。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质量保证措施</w:t>
            </w:r>
          </w:p>
        </w:tc>
      </w:tr>
      <w:tr>
        <w:tc>
          <w:tcPr>
            <w:tcW w:type="dxa" w:w="831"/>
            <w:vMerge/>
          </w:tcPr>
          <w:p/>
        </w:tc>
        <w:tc>
          <w:tcPr>
            <w:tcW w:type="dxa" w:w="1661"/>
          </w:tcPr>
          <w:p>
            <w:pPr>
              <w:pStyle w:val="null5"/>
              <w:jc w:val="left"/>
            </w:pPr>
            <w:r>
              <w:rPr>
                <w:rFonts w:ascii="仿宋_GB2312" w:hAnsi="仿宋_GB2312" w:cs="仿宋_GB2312" w:eastAsia="仿宋_GB2312"/>
              </w:rPr>
              <w:t>安全文明施工措施</w:t>
            </w:r>
          </w:p>
        </w:tc>
        <w:tc>
          <w:tcPr>
            <w:tcW w:type="dxa" w:w="2575"/>
          </w:tcPr>
          <w:p>
            <w:pPr>
              <w:pStyle w:val="null5"/>
              <w:jc w:val="left"/>
            </w:pPr>
            <w:r>
              <w:rPr>
                <w:rFonts w:ascii="仿宋_GB2312" w:hAnsi="仿宋_GB2312" w:cs="仿宋_GB2312" w:eastAsia="仿宋_GB2312"/>
              </w:rPr>
              <w:t>磋商小组根据确保安全生产、文明施工、环境保护、扬尘污染的技术组织措施进行综合评审，酌情打分，本项满分12分。存在瑕疵或不足的以0.5分为单位进行扣减，扣完为止。无此项内容的，本项得0分。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安全文明施工措施</w:t>
            </w:r>
          </w:p>
        </w:tc>
      </w:tr>
      <w:tr>
        <w:tc>
          <w:tcPr>
            <w:tcW w:type="dxa" w:w="831"/>
            <w:vMerge/>
          </w:tcPr>
          <w:p/>
        </w:tc>
        <w:tc>
          <w:tcPr>
            <w:tcW w:type="dxa" w:w="1661"/>
          </w:tcPr>
          <w:p>
            <w:pPr>
              <w:pStyle w:val="null5"/>
              <w:jc w:val="left"/>
            </w:pPr>
            <w:r>
              <w:rPr>
                <w:rFonts w:ascii="仿宋_GB2312" w:hAnsi="仿宋_GB2312" w:cs="仿宋_GB2312" w:eastAsia="仿宋_GB2312"/>
              </w:rPr>
              <w:t>工期安排</w:t>
            </w:r>
          </w:p>
        </w:tc>
        <w:tc>
          <w:tcPr>
            <w:tcW w:type="dxa" w:w="2575"/>
          </w:tcPr>
          <w:p>
            <w:pPr>
              <w:pStyle w:val="null5"/>
              <w:jc w:val="left"/>
            </w:pPr>
            <w:r>
              <w:rPr>
                <w:rFonts w:ascii="仿宋_GB2312" w:hAnsi="仿宋_GB2312" w:cs="仿宋_GB2312" w:eastAsia="仿宋_GB2312"/>
              </w:rPr>
              <w:t>磋商小组根据总进度工期安排及进度网络图、进度节点控制阶段划分及节点完成时间进行综合评审，酌情打分，本项满分12分。存在瑕疵或不足的以0.5分为单位进行扣减，扣完为止。无此项内容的，本项得0分。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工期安排</w:t>
            </w:r>
          </w:p>
        </w:tc>
      </w:tr>
      <w:tr>
        <w:tc>
          <w:tcPr>
            <w:tcW w:type="dxa" w:w="831"/>
            <w:vMerge/>
          </w:tcPr>
          <w:p/>
        </w:tc>
        <w:tc>
          <w:tcPr>
            <w:tcW w:type="dxa" w:w="1661"/>
          </w:tcPr>
          <w:p>
            <w:pPr>
              <w:pStyle w:val="null5"/>
              <w:jc w:val="left"/>
            </w:pPr>
            <w:r>
              <w:rPr>
                <w:rFonts w:ascii="仿宋_GB2312" w:hAnsi="仿宋_GB2312" w:cs="仿宋_GB2312" w:eastAsia="仿宋_GB2312"/>
              </w:rPr>
              <w:t>成品保护措施</w:t>
            </w:r>
          </w:p>
        </w:tc>
        <w:tc>
          <w:tcPr>
            <w:tcW w:type="dxa" w:w="2575"/>
          </w:tcPr>
          <w:p>
            <w:pPr>
              <w:pStyle w:val="null5"/>
              <w:jc w:val="left"/>
            </w:pPr>
            <w:r>
              <w:rPr>
                <w:rFonts w:ascii="仿宋_GB2312" w:hAnsi="仿宋_GB2312" w:cs="仿宋_GB2312" w:eastAsia="仿宋_GB2312"/>
              </w:rPr>
              <w:t>磋商小组根据成品保护和工程保修工作的管理措施进行综合评审，酌情打分，本项满分11分。存在瑕疵或不足的以0.5分为单位进行扣减，扣完为止。无此项内容的，本项得0分。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成品保护措施</w:t>
            </w:r>
          </w:p>
        </w:tc>
      </w:tr>
      <w:tr>
        <w:tc>
          <w:tcPr>
            <w:tcW w:type="dxa" w:w="831"/>
            <w:vMerge/>
          </w:tcPr>
          <w:p/>
        </w:tc>
        <w:tc>
          <w:tcPr>
            <w:tcW w:type="dxa" w:w="1661"/>
          </w:tcPr>
          <w:p>
            <w:pPr>
              <w:pStyle w:val="null5"/>
              <w:jc w:val="left"/>
            </w:pPr>
            <w:r>
              <w:rPr>
                <w:rFonts w:ascii="仿宋_GB2312" w:hAnsi="仿宋_GB2312" w:cs="仿宋_GB2312" w:eastAsia="仿宋_GB2312"/>
              </w:rPr>
              <w:t>主要材料保证措施</w:t>
            </w:r>
          </w:p>
        </w:tc>
        <w:tc>
          <w:tcPr>
            <w:tcW w:type="dxa" w:w="2575"/>
          </w:tcPr>
          <w:p>
            <w:pPr>
              <w:pStyle w:val="null5"/>
              <w:jc w:val="left"/>
            </w:pPr>
            <w:r>
              <w:rPr>
                <w:rFonts w:ascii="仿宋_GB2312" w:hAnsi="仿宋_GB2312" w:cs="仿宋_GB2312" w:eastAsia="仿宋_GB2312"/>
              </w:rPr>
              <w:t>磋商小组根据工程主要材料的规格、型号、质量情况及保证措施进行综合评审，酌情打分，本项满分11分。存在瑕疵或不足的以0.5分为单位进行扣减，扣完为止。无此项内容的，本项得0分。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主要材料保证措施</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1、供应商自2023年1月1日（含）以来（以合同签订时间为准）完成类似项目业绩的，每个得1分，本项最高得3分。项目业绩必须同时提供：①采购合同；②验收证明材料。 [注：同一项目一次或多次签订的合同的视为一个项目，不重复累计。] 若供应商提供虚假业绩资料，采购人有权取消其成交资格，并承担相应后果。 以上资料中所涉及的项目名称、采购内容、合同金额应相符，否则，磋商小组一律不予认可。提供资料不全或不符合磋商文件要求的，磋商小组一律不予认可。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工程质量保修期</w:t>
            </w:r>
          </w:p>
        </w:tc>
        <w:tc>
          <w:tcPr>
            <w:tcW w:type="dxa" w:w="2575"/>
          </w:tcPr>
          <w:p>
            <w:pPr>
              <w:pStyle w:val="null5"/>
              <w:jc w:val="left"/>
            </w:pPr>
            <w:r>
              <w:rPr>
                <w:rFonts w:ascii="仿宋_GB2312" w:hAnsi="仿宋_GB2312" w:cs="仿宋_GB2312" w:eastAsia="仿宋_GB2312"/>
              </w:rPr>
              <w:t>工程质量保修期在满足磋商文件要求的基础上延长一年得2分，最多得2分。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工程质量保修期</w:t>
            </w:r>
          </w:p>
        </w:tc>
      </w:tr>
      <w:tr>
        <w:tc>
          <w:tcPr>
            <w:tcW w:type="dxa" w:w="831"/>
            <w:vMerge/>
          </w:tcPr>
          <w:p/>
        </w:tc>
        <w:tc>
          <w:tcPr>
            <w:tcW w:type="dxa" w:w="1661"/>
          </w:tcPr>
          <w:p>
            <w:pPr>
              <w:pStyle w:val="null5"/>
              <w:jc w:val="left"/>
            </w:pPr>
            <w:r>
              <w:rPr>
                <w:rFonts w:ascii="仿宋_GB2312" w:hAnsi="仿宋_GB2312" w:cs="仿宋_GB2312" w:eastAsia="仿宋_GB2312"/>
              </w:rPr>
              <w:t>全生命周期成本</w:t>
            </w:r>
          </w:p>
        </w:tc>
        <w:tc>
          <w:tcPr>
            <w:tcW w:type="dxa" w:w="2575"/>
          </w:tcPr>
          <w:p>
            <w:pPr>
              <w:pStyle w:val="null5"/>
              <w:jc w:val="left"/>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项目全生命周期成分分析</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（1）羽毛球馆更换木地板响应报价低于全部通过符合性审查供应商响应报价平均值50%的，即羽毛球馆更换木地板响应报价&lt;全部通过符合性审查供应商响应报价平均值×50%。 （2）羽毛球馆更换木地板响应报价低于通过符合性审查且报价次低供应商响应报价50%的，即羽毛球馆更换木地板响应报价&lt;通过符合性审查且报价次低供应商响应报价×50%。 （3）羽毛球馆更换木地板响应报价低于最高限价45%的，即羽毛球馆更换木地板响应报价&lt;最高限价×45%。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工程量清单报价</w:t>
            </w:r>
          </w:p>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节能、环保评分项</w:t>
            </w:r>
          </w:p>
        </w:tc>
        <w:tc>
          <w:tcPr>
            <w:tcW w:type="dxa" w:w="2575"/>
          </w:tcPr>
          <w:p>
            <w:pPr>
              <w:pStyle w:val="null5"/>
              <w:jc w:val="left"/>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10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82×5%。</w:t>
            </w:r>
          </w:p>
        </w:tc>
        <w:tc>
          <w:tcPr>
            <w:tcW w:type="dxa" w:w="831"/>
          </w:tcPr>
          <w:p>
            <w:pPr>
              <w:pStyle w:val="null5"/>
              <w:jc w:val="center"/>
            </w:pPr>
            <w:r>
              <w:rPr>
                <w:rFonts w:ascii="仿宋_GB2312" w:hAnsi="仿宋_GB2312" w:cs="仿宋_GB2312" w:eastAsia="仿宋_GB2312"/>
              </w:rPr>
              <w:t>9.2000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节能环保政策</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（1）羽毛球馆更换木地板响应报价低于全部通过符合性审查供应商响应报价平均值50%的，即羽毛球馆更换木地板响应报价&lt;全部通过符合性审查供应商响应报价平均值×50%。</w:t>
              <w:br/>
              <w:t>（2）羽毛球馆更换木地板响应报价低于通过符合性审查且报价次低供应商响应报价50%的，即羽毛球馆更换木地板响应报价&lt;通过符合性审查且报价次低供应商响应报价×50%。</w:t>
              <w:br/>
              <w:t>（3）羽毛球馆更换木地板响应报价低于最高限价45%的，即羽毛球馆更换木地板响应报价&lt;最高限价×45%。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br/>
              <w:t>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w:t>
              <w:br/>
              <w:t>书面说明及必要的证明材料应包含：①提供销售发票、合同或其他证明材料等以证明投标人的报价及执行情况；②成本构成。包含项目内容的本身成本、人工费、拟配备设备及材料费、税金等所有费用的说明。</w:t>
              <w:br/>
              <w:t>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详见附件：工程质量保修期</w:t>
      </w:r>
    </w:p>
    <w:p>
      <w:pPr>
        <w:pStyle w:val="null5"/>
        <w:ind w:firstLine="960"/>
        <w:jc w:val="left"/>
      </w:pPr>
      <w:r>
        <w:rPr>
          <w:rFonts w:ascii="仿宋_GB2312" w:hAnsi="仿宋_GB2312" w:cs="仿宋_GB2312" w:eastAsia="仿宋_GB2312"/>
        </w:rPr>
        <w:t>详见附件：农民工工资无拖欠承诺书</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详见附件：工程量清单报价</w:t>
      </w:r>
    </w:p>
    <w:p>
      <w:pPr>
        <w:pStyle w:val="null5"/>
        <w:ind w:firstLine="960"/>
        <w:jc w:val="left"/>
      </w:pPr>
      <w:r>
        <w:rPr>
          <w:rFonts w:ascii="仿宋_GB2312" w:hAnsi="仿宋_GB2312" w:cs="仿宋_GB2312" w:eastAsia="仿宋_GB2312"/>
        </w:rPr>
        <w:t>详见附件：节能环保政策</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详见附件：供应商认为需要提交的其他商务文件</w:t>
      </w:r>
    </w:p>
    <w:p>
      <w:pPr>
        <w:pStyle w:val="null5"/>
        <w:ind w:firstLine="960"/>
        <w:jc w:val="left"/>
      </w:pPr>
      <w:r>
        <w:rPr>
          <w:rFonts w:ascii="仿宋_GB2312" w:hAnsi="仿宋_GB2312" w:cs="仿宋_GB2312" w:eastAsia="仿宋_GB2312"/>
        </w:rPr>
        <w:t>详见附件：施工方案</w:t>
      </w:r>
    </w:p>
    <w:p>
      <w:pPr>
        <w:pStyle w:val="null5"/>
        <w:ind w:firstLine="960"/>
        <w:jc w:val="left"/>
      </w:pPr>
      <w:r>
        <w:rPr>
          <w:rFonts w:ascii="仿宋_GB2312" w:hAnsi="仿宋_GB2312" w:cs="仿宋_GB2312" w:eastAsia="仿宋_GB2312"/>
        </w:rPr>
        <w:t>详见附件：项目管理班子配备</w:t>
      </w:r>
    </w:p>
    <w:p>
      <w:pPr>
        <w:pStyle w:val="null5"/>
        <w:ind w:firstLine="960"/>
        <w:jc w:val="left"/>
      </w:pPr>
      <w:r>
        <w:rPr>
          <w:rFonts w:ascii="仿宋_GB2312" w:hAnsi="仿宋_GB2312" w:cs="仿宋_GB2312" w:eastAsia="仿宋_GB2312"/>
        </w:rPr>
        <w:t>详见附件：质量保证措施</w:t>
      </w:r>
    </w:p>
    <w:p>
      <w:pPr>
        <w:pStyle w:val="null5"/>
        <w:ind w:firstLine="960"/>
        <w:jc w:val="left"/>
      </w:pPr>
      <w:r>
        <w:rPr>
          <w:rFonts w:ascii="仿宋_GB2312" w:hAnsi="仿宋_GB2312" w:cs="仿宋_GB2312" w:eastAsia="仿宋_GB2312"/>
        </w:rPr>
        <w:t>详见附件：安全文明施工措施</w:t>
      </w:r>
    </w:p>
    <w:p>
      <w:pPr>
        <w:pStyle w:val="null5"/>
        <w:ind w:firstLine="960"/>
        <w:jc w:val="left"/>
      </w:pPr>
      <w:r>
        <w:rPr>
          <w:rFonts w:ascii="仿宋_GB2312" w:hAnsi="仿宋_GB2312" w:cs="仿宋_GB2312" w:eastAsia="仿宋_GB2312"/>
        </w:rPr>
        <w:t>详见附件：工期安排</w:t>
      </w:r>
    </w:p>
    <w:p>
      <w:pPr>
        <w:pStyle w:val="null5"/>
        <w:ind w:firstLine="960"/>
        <w:jc w:val="left"/>
      </w:pPr>
      <w:r>
        <w:rPr>
          <w:rFonts w:ascii="仿宋_GB2312" w:hAnsi="仿宋_GB2312" w:cs="仿宋_GB2312" w:eastAsia="仿宋_GB2312"/>
        </w:rPr>
        <w:t>详见附件：成品保护措施</w:t>
      </w:r>
    </w:p>
    <w:p>
      <w:pPr>
        <w:pStyle w:val="null5"/>
        <w:ind w:firstLine="960"/>
        <w:jc w:val="left"/>
      </w:pPr>
      <w:r>
        <w:rPr>
          <w:rFonts w:ascii="仿宋_GB2312" w:hAnsi="仿宋_GB2312" w:cs="仿宋_GB2312" w:eastAsia="仿宋_GB2312"/>
        </w:rPr>
        <w:t>详见附件：主要材料保证措施</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