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山东石油化工学院2026年石油工程学院CO2微观流动及相态变化实验室采购项目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SDGP370000000202602007600</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山东石油化工学院</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山东鲁正工程咨询有限公司</w:t>
      </w:r>
    </w:p>
    <w:p>
      <w:pPr>
        <w:pStyle w:val="null5"/>
        <w:jc w:val="center"/>
      </w:pPr>
      <w:r>
        <w:rPr>
          <w:rFonts w:ascii="仿宋_GB2312" w:hAnsi="仿宋_GB2312" w:cs="仿宋_GB2312" w:eastAsia="仿宋_GB2312"/>
        </w:rPr>
        <w:t>2026年08月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山东鲁正工程咨询有限公司</w:t>
      </w:r>
      <w:r>
        <w:rPr>
          <w:rFonts w:ascii="仿宋_GB2312" w:hAnsi="仿宋_GB2312" w:cs="仿宋_GB2312" w:eastAsia="仿宋_GB2312"/>
        </w:rPr>
        <w:t xml:space="preserve"> （以下简称“代理机构”）受</w:t>
      </w:r>
      <w:r>
        <w:rPr>
          <w:rFonts w:ascii="仿宋_GB2312" w:hAnsi="仿宋_GB2312" w:cs="仿宋_GB2312" w:eastAsia="仿宋_GB2312"/>
        </w:rPr>
        <w:t>山东石油化工学院</w:t>
      </w:r>
      <w:r>
        <w:rPr>
          <w:rFonts w:ascii="仿宋_GB2312" w:hAnsi="仿宋_GB2312" w:cs="仿宋_GB2312" w:eastAsia="仿宋_GB2312"/>
        </w:rPr>
        <w:t xml:space="preserve"> （以下简称“采购人”）委托，对</w:t>
      </w:r>
      <w:r>
        <w:rPr>
          <w:rFonts w:ascii="仿宋_GB2312" w:hAnsi="仿宋_GB2312" w:cs="仿宋_GB2312" w:eastAsia="仿宋_GB2312"/>
        </w:rPr>
        <w:t>山东石油化工学院2026年石油工程学院CO2微观流动及相态变化实验室采购项目</w:t>
      </w:r>
      <w:r>
        <w:rPr>
          <w:rFonts w:ascii="仿宋_GB2312" w:hAnsi="仿宋_GB2312" w:cs="仿宋_GB2312" w:eastAsia="仿宋_GB2312"/>
        </w:rPr>
        <w:t>采用竞争性磋商方式进行采购，兹邀请潜在供应商参加。本项目为山东省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SDGP370000000202602007600</w:t>
      </w:r>
    </w:p>
    <w:p>
      <w:pPr>
        <w:pStyle w:val="null5"/>
        <w:ind w:firstLine="480"/>
        <w:jc w:val="left"/>
        <w:outlineLvl w:val="2"/>
      </w:pPr>
      <w:r>
        <w:rPr>
          <w:rFonts w:ascii="仿宋_GB2312" w:hAnsi="仿宋_GB2312" w:cs="仿宋_GB2312" w:eastAsia="仿宋_GB2312"/>
          <w:sz w:val="28"/>
          <w:b/>
        </w:rPr>
        <w:t xml:space="preserve">1.2.项目名称： </w:t>
      </w:r>
      <w:r>
        <w:rPr>
          <w:rFonts w:ascii="仿宋_GB2312" w:hAnsi="仿宋_GB2312" w:cs="仿宋_GB2312" w:eastAsia="仿宋_GB2312"/>
          <w:sz w:val="28"/>
          <w:b/>
        </w:rPr>
        <w:t>山东石油化工学院2026年石油工程学院CO2微观流动及相态变化实验室采购项目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本项目为山东石油化工学院2026年石油工程学院CO2微观流动及相态变化实验室采购项目，共分为1个包，具体采购内容及技术要求详见采购文件具体要求。</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具有独立承担民事责任的能力：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p>
      <w:pPr>
        <w:pStyle w:val="null5"/>
        <w:jc w:val="left"/>
      </w:pPr>
      <w:r>
        <w:rPr>
          <w:rFonts w:ascii="仿宋_GB2312" w:hAnsi="仿宋_GB2312" w:cs="仿宋_GB2312" w:eastAsia="仿宋_GB2312"/>
        </w:rPr>
        <w:t>2、供应商具有良好的商业信誉和健全的财务会计制度：提供2025年度由有法定资格的中介机构出具的财务审计报告。供应商没有财务审计报告的，应当提供基本开户银行出具的资信证明，中小企业可提供财政部门认可的政府采购专业担保机构出具的投标担保函。（提供原件扫描件或复印件加盖公章）</w:t>
      </w:r>
    </w:p>
    <w:p>
      <w:pPr>
        <w:pStyle w:val="null5"/>
        <w:jc w:val="left"/>
      </w:pPr>
      <w:r>
        <w:rPr>
          <w:rFonts w:ascii="仿宋_GB2312" w:hAnsi="仿宋_GB2312" w:cs="仿宋_GB2312" w:eastAsia="仿宋_GB2312"/>
        </w:rPr>
        <w:t>3、供应商具有履行合同所必需的设备和专业技术能力：履行本项目合同所必需的设备和专业技术能力的证明。（提供原件扫描件或复印件加盖公章）</w:t>
      </w:r>
    </w:p>
    <w:p>
      <w:pPr>
        <w:pStyle w:val="null5"/>
        <w:jc w:val="left"/>
      </w:pPr>
      <w:r>
        <w:rPr>
          <w:rFonts w:ascii="仿宋_GB2312" w:hAnsi="仿宋_GB2312" w:cs="仿宋_GB2312" w:eastAsia="仿宋_GB2312"/>
        </w:rPr>
        <w:t>4、供应商有依法缴纳税收和社会保障资金的良好记录：（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p>
      <w:pPr>
        <w:pStyle w:val="null5"/>
        <w:jc w:val="left"/>
      </w:pPr>
      <w:r>
        <w:rPr>
          <w:rFonts w:ascii="仿宋_GB2312" w:hAnsi="仿宋_GB2312" w:cs="仿宋_GB2312" w:eastAsia="仿宋_GB2312"/>
        </w:rPr>
        <w:t>5、供应商参加政府采购活动前三年内，在经营活动中没有重大违法记录：参加本次政府采购活动前近三年内在经营活动中没有重大违法记录的书面声明函。（提供原件扫描件或复印件加盖公章）</w:t>
      </w:r>
    </w:p>
    <w:p>
      <w:pPr>
        <w:pStyle w:val="null5"/>
        <w:jc w:val="left"/>
      </w:pPr>
      <w:r>
        <w:rPr>
          <w:rFonts w:ascii="仿宋_GB2312" w:hAnsi="仿宋_GB2312" w:cs="仿宋_GB2312" w:eastAsia="仿宋_GB2312"/>
        </w:rPr>
        <w:t>6、供应商无不良信用记录：未被列入信用中国网站（www.creditchina.gov.cn）、中国政府采购网（www.ccgp.gov.cn）渠道信用记录失信被执行人、重大税收违法案件当事人名单、政府采购严重违法失信行为记录名单。本项由采购代理机构现场核查。</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left"/>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一、提交响应文件截止时间及开启时间、方式、地点：详见采购公告。</w:t>
      </w:r>
    </w:p>
    <w:p>
      <w:pPr>
        <w:pStyle w:val="null5"/>
        <w:ind w:firstLine="480"/>
        <w:jc w:val="left"/>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山东石油化工学院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东营市东营区北二路500号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257061</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山东石油化工学院</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0546-7396500</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山东鲁正工程咨询有限公司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东营经济技术开发区光谷未来城57号楼</w:t>
      </w:r>
    </w:p>
    <w:p>
      <w:pPr>
        <w:pStyle w:val="null5"/>
      </w:pPr>
      <w:r>
        <w:rPr>
          <w:rFonts w:ascii="仿宋_GB2312" w:hAnsi="仿宋_GB2312" w:cs="仿宋_GB2312" w:eastAsia="仿宋_GB2312"/>
        </w:rPr>
        <w:t xml:space="preserve"> 邮编： </w:t>
      </w:r>
      <w:r>
        <w:rPr>
          <w:rFonts w:ascii="仿宋_GB2312" w:hAnsi="仿宋_GB2312" w:cs="仿宋_GB2312" w:eastAsia="仿宋_GB2312"/>
        </w:rPr>
        <w:t>257091</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徐少华</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0546-8333557、13165460100</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采购包1：821,000.00元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90日历天</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代理服务费收费标准：参照国家发展计划委员会计价格[2002]1980号文和国家发改委发改办价格[2003]857号文的规定下浮40%。</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本项目不涉及。</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山东石油化工学院</w:t>
      </w:r>
      <w:r>
        <w:rPr>
          <w:rFonts w:ascii="仿宋_GB2312" w:hAnsi="仿宋_GB2312" w:cs="仿宋_GB2312" w:eastAsia="仿宋_GB2312"/>
        </w:rPr>
        <w:t xml:space="preserve"> 和 </w:t>
      </w:r>
      <w:r>
        <w:rPr>
          <w:rFonts w:ascii="仿宋_GB2312" w:hAnsi="仿宋_GB2312" w:cs="仿宋_GB2312" w:eastAsia="仿宋_GB2312"/>
        </w:rPr>
        <w:t>山东鲁正工程咨询有限公司</w:t>
      </w:r>
      <w:r>
        <w:rPr>
          <w:rFonts w:ascii="仿宋_GB2312" w:hAnsi="仿宋_GB2312" w:cs="仿宋_GB2312" w:eastAsia="仿宋_GB2312"/>
        </w:rPr>
        <w:t xml:space="preserve"> 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山东石油化工学院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山东鲁正工程咨询有限公司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pPr>
      <w:r>
        <w:rPr>
          <w:rFonts w:ascii="仿宋_GB2312" w:hAnsi="仿宋_GB2312" w:cs="仿宋_GB2312" w:eastAsia="仿宋_GB2312"/>
        </w:rPr>
        <w:t>二、澄清或者修改的内容为磋商文件的组成部分，采购人或者代理机构将在“中国山东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5"/>
        <w:ind w:firstLine="480"/>
        <w:jc w:val="left"/>
      </w:pPr>
      <w:r>
        <w:rPr>
          <w:rFonts w:ascii="仿宋_GB2312" w:hAnsi="仿宋_GB2312" w:cs="仿宋_GB2312" w:eastAsia="仿宋_GB2312"/>
        </w:rPr>
        <w:t>三、供应商根据更正公告、更正信息要求，下载更正后的磋商文件，进行响应文件编制。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供应商向采购⼈提交项⽬验收申请后，经采购⼈确认达到验收条件的，采购⼈按项⽬的相关规定启动项⽬验收。</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按照合同条款和项目需求，由采购人进行验收，参照《山东省政府采购履约验收管理办法》</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按照合同条款和项目需求，由采购人进行验收，参照《山东省政府采购履约验收管理办法》。</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山东石油化工学院</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山东鲁正工程咨询有限公司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山东鲁正工程咨询有限公司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联系人：徐少华</w:t>
      </w:r>
    </w:p>
    <w:p>
      <w:pPr>
        <w:pStyle w:val="null5"/>
        <w:jc w:val="left"/>
      </w:pPr>
      <w:r>
        <w:rPr>
          <w:rFonts w:ascii="仿宋_GB2312" w:hAnsi="仿宋_GB2312" w:cs="仿宋_GB2312" w:eastAsia="仿宋_GB2312"/>
        </w:rPr>
        <w:t>联系电话：13165460100</w:t>
      </w:r>
    </w:p>
    <w:p>
      <w:pPr>
        <w:pStyle w:val="null5"/>
        <w:jc w:val="left"/>
      </w:pPr>
      <w:r>
        <w:rPr>
          <w:rFonts w:ascii="仿宋_GB2312" w:hAnsi="仿宋_GB2312" w:cs="仿宋_GB2312" w:eastAsia="仿宋_GB2312"/>
        </w:rPr>
        <w:t>地址：东营经济技术开发区光谷未来城57号楼</w:t>
      </w:r>
    </w:p>
    <w:p>
      <w:pPr>
        <w:pStyle w:val="null5"/>
        <w:jc w:val="left"/>
      </w:pPr>
      <w:r>
        <w:rPr>
          <w:rFonts w:ascii="仿宋_GB2312" w:hAnsi="仿宋_GB2312" w:cs="仿宋_GB2312" w:eastAsia="仿宋_GB2312"/>
        </w:rPr>
        <w:t>邮编：257091</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821,000.00</w:t>
      </w:r>
    </w:p>
    <w:p>
      <w:pPr>
        <w:pStyle w:val="null5"/>
        <w:jc w:val="left"/>
      </w:pPr>
      <w:r>
        <w:rPr>
          <w:rFonts w:ascii="仿宋_GB2312" w:hAnsi="仿宋_GB2312" w:cs="仿宋_GB2312" w:eastAsia="仿宋_GB2312"/>
        </w:rPr>
        <w:t>采购包最高限价（元）: 821,000.00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高温高压二氧化碳PVT实验装置等设备</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821,000.00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高温高压二氧化碳PVT实验装置等设备</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821,000.00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备注:报价须为人民币含税全包价，包括材料价款、运输费、装卸费、检测费、安装调试费、软硬件设施培训费、合同期内的售后服务及保修费、管理费、利润、税费等直至项目竣工验收合格的全部价款。</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高温高压二氧化碳PVT实验装置等设备</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高温高压CO2微观可视化实验装置</w:t>
            </w:r>
          </w:p>
        </w:tc>
        <w:tc>
          <w:tcPr>
            <w:tcW w:type="dxa" w:w="2076"/>
          </w:tcPr>
          <w:p>
            <w:pPr>
              <w:pStyle w:val="null5"/>
              <w:jc w:val="left"/>
            </w:pPr>
            <w:r>
              <w:rPr>
                <w:rFonts w:ascii="仿宋_GB2312" w:hAnsi="仿宋_GB2312" w:cs="仿宋_GB2312" w:eastAsia="仿宋_GB2312"/>
              </w:rPr>
              <w:t>高温高压CO2微观可视化实验装置</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高温高压二氧化碳PVT实验装置</w:t>
            </w:r>
          </w:p>
        </w:tc>
        <w:tc>
          <w:tcPr>
            <w:tcW w:type="dxa" w:w="2076"/>
          </w:tcPr>
          <w:p>
            <w:pPr>
              <w:pStyle w:val="null5"/>
              <w:jc w:val="left"/>
            </w:pPr>
            <w:r>
              <w:rPr>
                <w:rFonts w:ascii="仿宋_GB2312" w:hAnsi="仿宋_GB2312" w:cs="仿宋_GB2312" w:eastAsia="仿宋_GB2312"/>
              </w:rPr>
              <w:t>高温高压二氧化碳PVT实验装置</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自动成套控制系统</w:t>
            </w:r>
          </w:p>
        </w:tc>
        <w:tc>
          <w:tcPr>
            <w:tcW w:type="dxa" w:w="2492"/>
          </w:tcPr>
          <w:p>
            <w:pPr>
              <w:pStyle w:val="null5"/>
              <w:jc w:val="left"/>
            </w:pPr>
            <w:r>
              <w:rPr>
                <w:rFonts w:ascii="仿宋_GB2312" w:hAnsi="仿宋_GB2312" w:cs="仿宋_GB2312" w:eastAsia="仿宋_GB2312"/>
              </w:rPr>
              <w:t>高温高压二氧化碳PVT实验装置等设备</w:t>
            </w:r>
          </w:p>
        </w:tc>
        <w:tc>
          <w:tcPr>
            <w:tcW w:type="dxa" w:w="2492"/>
          </w:tcPr>
          <w:p>
            <w:pPr>
              <w:pStyle w:val="null5"/>
              <w:jc w:val="left"/>
            </w:pPr>
            <w:r>
              <w:rPr>
                <w:rFonts w:ascii="仿宋_GB2312" w:hAnsi="仿宋_GB2312" w:cs="仿宋_GB2312" w:eastAsia="仿宋_GB2312"/>
              </w:rPr>
              <w:t>高温高压二氧化碳PVT实验装置</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标的名称：高温高压二氧化碳PVT实验装置等设备</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高温高压CO2微观可视化实验装置</w:t>
            </w:r>
          </w:p>
        </w:tc>
        <w:tc>
          <w:tcPr>
            <w:tcW w:type="dxa" w:w="2076"/>
          </w:tcPr>
          <w:p>
            <w:pPr>
              <w:pStyle w:val="null5"/>
              <w:jc w:val="left"/>
            </w:pPr>
            <w:r>
              <w:rPr>
                <w:rFonts w:ascii="仿宋_GB2312" w:hAnsi="仿宋_GB2312" w:cs="仿宋_GB2312" w:eastAsia="仿宋_GB2312"/>
                <w:sz w:val="20"/>
                <w:color w:val="000000"/>
              </w:rPr>
              <w:t>数量：</w:t>
            </w:r>
            <w:r>
              <w:rPr>
                <w:rFonts w:ascii="仿宋_GB2312" w:hAnsi="仿宋_GB2312" w:cs="仿宋_GB2312" w:eastAsia="仿宋_GB2312"/>
                <w:sz w:val="20"/>
                <w:color w:val="000000"/>
              </w:rPr>
              <w:t>2台</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高温高压CO2微观可视化实验装置</w:t>
            </w:r>
          </w:p>
        </w:tc>
        <w:tc>
          <w:tcPr>
            <w:tcW w:type="dxa" w:w="2076"/>
          </w:tcPr>
          <w:p>
            <w:pPr>
              <w:pStyle w:val="null5"/>
              <w:jc w:val="left"/>
            </w:pPr>
            <w:r>
              <w:rPr>
                <w:rFonts w:ascii="仿宋_GB2312" w:hAnsi="仿宋_GB2312" w:cs="仿宋_GB2312" w:eastAsia="仿宋_GB2312"/>
                <w:sz w:val="20"/>
                <w:color w:val="000000"/>
              </w:rPr>
              <w:t>1.高精度注入系统</w:t>
            </w:r>
            <w:r>
              <w:br/>
            </w:r>
            <w:r>
              <w:rPr>
                <w:rFonts w:ascii="仿宋_GB2312" w:hAnsi="仿宋_GB2312" w:cs="仿宋_GB2312" w:eastAsia="仿宋_GB2312"/>
                <w:sz w:val="20"/>
                <w:color w:val="000000"/>
              </w:rPr>
              <w:t>1.1 双缸恒速恒压泵：</w:t>
            </w:r>
            <w:r>
              <w:br/>
            </w:r>
            <w:r>
              <w:rPr>
                <w:rFonts w:ascii="仿宋_GB2312" w:hAnsi="仿宋_GB2312" w:cs="仿宋_GB2312" w:eastAsia="仿宋_GB2312"/>
                <w:sz w:val="20"/>
                <w:color w:val="000000"/>
              </w:rPr>
              <w:t>1.1.1 压力范围：0~50MPa；</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高温高压CO2微观可视化实验装置</w:t>
            </w:r>
          </w:p>
        </w:tc>
        <w:tc>
          <w:tcPr>
            <w:tcW w:type="dxa" w:w="2076"/>
          </w:tcPr>
          <w:p>
            <w:pPr>
              <w:pStyle w:val="null5"/>
              <w:jc w:val="left"/>
            </w:pPr>
            <w:r>
              <w:rPr>
                <w:rFonts w:ascii="仿宋_GB2312" w:hAnsi="仿宋_GB2312" w:cs="仿宋_GB2312" w:eastAsia="仿宋_GB2312"/>
                <w:sz w:val="20"/>
                <w:color w:val="000000"/>
              </w:rPr>
              <w:t>1.1.2 压力精度：±0.1% ；</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高温高压CO2微观可视化实验装置</w:t>
            </w:r>
          </w:p>
        </w:tc>
        <w:tc>
          <w:tcPr>
            <w:tcW w:type="dxa" w:w="2076"/>
          </w:tcPr>
          <w:p>
            <w:pPr>
              <w:pStyle w:val="null5"/>
              <w:jc w:val="left"/>
            </w:pPr>
            <w:r>
              <w:rPr>
                <w:rFonts w:ascii="仿宋_GB2312" w:hAnsi="仿宋_GB2312" w:cs="仿宋_GB2312" w:eastAsia="仿宋_GB2312"/>
                <w:sz w:val="20"/>
                <w:color w:val="000000"/>
              </w:rPr>
              <w:t>1.1.3 连续流量范围：0.001~30mL/min；</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高温高压CO2微观可视化实验装置</w:t>
            </w:r>
          </w:p>
        </w:tc>
        <w:tc>
          <w:tcPr>
            <w:tcW w:type="dxa" w:w="2076"/>
          </w:tcPr>
          <w:p>
            <w:pPr>
              <w:pStyle w:val="null5"/>
              <w:jc w:val="left"/>
            </w:pPr>
            <w:r>
              <w:rPr>
                <w:rFonts w:ascii="仿宋_GB2312" w:hAnsi="仿宋_GB2312" w:cs="仿宋_GB2312" w:eastAsia="仿宋_GB2312"/>
                <w:sz w:val="20"/>
                <w:color w:val="000000"/>
              </w:rPr>
              <w:t>1.1.4流量精度：0.1% ；</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高温高压CO2微观可视化实验装置</w:t>
            </w:r>
          </w:p>
        </w:tc>
        <w:tc>
          <w:tcPr>
            <w:tcW w:type="dxa" w:w="2076"/>
          </w:tcPr>
          <w:p>
            <w:pPr>
              <w:pStyle w:val="null5"/>
              <w:jc w:val="left"/>
            </w:pPr>
            <w:r>
              <w:rPr>
                <w:rFonts w:ascii="仿宋_GB2312" w:hAnsi="仿宋_GB2312" w:cs="仿宋_GB2312" w:eastAsia="仿宋_GB2312"/>
                <w:sz w:val="20"/>
                <w:color w:val="000000"/>
              </w:rPr>
              <w:t>1.1.5润湿部件材质：泵缸：316L不锈钢活塞杆： 氧化锆。</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高温高压CO2微观可视化实验装置</w:t>
            </w:r>
          </w:p>
        </w:tc>
        <w:tc>
          <w:tcPr>
            <w:tcW w:type="dxa" w:w="2076"/>
          </w:tcPr>
          <w:p>
            <w:pPr>
              <w:pStyle w:val="null5"/>
              <w:jc w:val="left"/>
            </w:pPr>
            <w:r>
              <w:rPr>
                <w:rFonts w:ascii="仿宋_GB2312" w:hAnsi="仿宋_GB2312" w:cs="仿宋_GB2312" w:eastAsia="仿宋_GB2312"/>
                <w:sz w:val="20"/>
                <w:color w:val="000000"/>
              </w:rPr>
              <w:t>1.2 活塞容器</w:t>
            </w:r>
            <w:r>
              <w:br/>
            </w:r>
            <w:r>
              <w:rPr>
                <w:rFonts w:ascii="仿宋_GB2312" w:hAnsi="仿宋_GB2312" w:cs="仿宋_GB2312" w:eastAsia="仿宋_GB2312"/>
                <w:sz w:val="20"/>
                <w:color w:val="000000"/>
              </w:rPr>
              <w:t>1.2.1材质：316L；</w:t>
            </w:r>
            <w:r>
              <w:br/>
            </w:r>
            <w:r>
              <w:rPr>
                <w:rFonts w:ascii="仿宋_GB2312" w:hAnsi="仿宋_GB2312" w:cs="仿宋_GB2312" w:eastAsia="仿宋_GB2312"/>
                <w:sz w:val="20"/>
                <w:color w:val="000000"/>
              </w:rPr>
              <w:t>1.2.2活塞材质：PEEK，自平衡结构；</w:t>
            </w:r>
            <w:r>
              <w:br/>
            </w:r>
            <w:r>
              <w:rPr>
                <w:rFonts w:ascii="仿宋_GB2312" w:hAnsi="仿宋_GB2312" w:cs="仿宋_GB2312" w:eastAsia="仿宋_GB2312"/>
                <w:sz w:val="20"/>
                <w:color w:val="000000"/>
              </w:rPr>
              <w:t>1.2.3有效容积：≥100mL；</w:t>
            </w:r>
            <w:r>
              <w:br/>
            </w:r>
            <w:r>
              <w:rPr>
                <w:rFonts w:ascii="仿宋_GB2312" w:hAnsi="仿宋_GB2312" w:cs="仿宋_GB2312" w:eastAsia="仿宋_GB2312"/>
                <w:sz w:val="20"/>
                <w:color w:val="000000"/>
              </w:rPr>
              <w:t>1.2.4使用压力：≥50MPa；</w:t>
            </w:r>
            <w:r>
              <w:br/>
            </w:r>
            <w:r>
              <w:rPr>
                <w:rFonts w:ascii="仿宋_GB2312" w:hAnsi="仿宋_GB2312" w:cs="仿宋_GB2312" w:eastAsia="仿宋_GB2312"/>
                <w:sz w:val="20"/>
                <w:color w:val="000000"/>
              </w:rPr>
              <w:t>1.2.5使用温度：≥120℃；</w:t>
            </w:r>
            <w:r>
              <w:br/>
            </w:r>
            <w:r>
              <w:rPr>
                <w:rFonts w:ascii="仿宋_GB2312" w:hAnsi="仿宋_GB2312" w:cs="仿宋_GB2312" w:eastAsia="仿宋_GB2312"/>
                <w:sz w:val="20"/>
                <w:color w:val="000000"/>
              </w:rPr>
              <w:t>1.2.6动密封材质：FFKM（全氟醚橡胶）；</w:t>
            </w:r>
            <w:r>
              <w:br/>
            </w:r>
            <w:r>
              <w:rPr>
                <w:rFonts w:ascii="仿宋_GB2312" w:hAnsi="仿宋_GB2312" w:cs="仿宋_GB2312" w:eastAsia="仿宋_GB2312"/>
                <w:sz w:val="20"/>
                <w:color w:val="000000"/>
              </w:rPr>
              <w:t>1.2.7静密封材质：PEEK（聚醚醚酮）。</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高温高压CO2微观可视化实验装置</w:t>
            </w:r>
          </w:p>
        </w:tc>
        <w:tc>
          <w:tcPr>
            <w:tcW w:type="dxa" w:w="2076"/>
          </w:tcPr>
          <w:p>
            <w:pPr>
              <w:pStyle w:val="null5"/>
              <w:jc w:val="left"/>
            </w:pPr>
            <w:r>
              <w:rPr>
                <w:rFonts w:ascii="仿宋_GB2312" w:hAnsi="仿宋_GB2312" w:cs="仿宋_GB2312" w:eastAsia="仿宋_GB2312"/>
                <w:sz w:val="20"/>
                <w:color w:val="000000"/>
              </w:rPr>
              <w:t>2. 微芯片可视系统</w:t>
            </w:r>
            <w:r>
              <w:br/>
            </w:r>
            <w:r>
              <w:rPr>
                <w:rFonts w:ascii="仿宋_GB2312" w:hAnsi="仿宋_GB2312" w:cs="仿宋_GB2312" w:eastAsia="仿宋_GB2312"/>
                <w:sz w:val="20"/>
                <w:color w:val="000000"/>
              </w:rPr>
              <w:t>2.1 夹持系统</w:t>
            </w:r>
            <w:r>
              <w:br/>
            </w:r>
            <w:r>
              <w:rPr>
                <w:rFonts w:ascii="仿宋_GB2312" w:hAnsi="仿宋_GB2312" w:cs="仿宋_GB2312" w:eastAsia="仿宋_GB2312"/>
                <w:sz w:val="20"/>
                <w:color w:val="000000"/>
              </w:rPr>
              <w:t>2.1.1 主体材质：316L不锈钢锻件；</w:t>
            </w:r>
            <w:r>
              <w:br/>
            </w:r>
            <w:r>
              <w:rPr>
                <w:rFonts w:ascii="仿宋_GB2312" w:hAnsi="仿宋_GB2312" w:cs="仿宋_GB2312" w:eastAsia="仿宋_GB2312"/>
                <w:sz w:val="20"/>
                <w:color w:val="000000"/>
              </w:rPr>
              <w:t>2.1.2 容积：≥100mL；</w:t>
            </w:r>
            <w:r>
              <w:br/>
            </w:r>
            <w:r>
              <w:rPr>
                <w:rFonts w:ascii="仿宋_GB2312" w:hAnsi="仿宋_GB2312" w:cs="仿宋_GB2312" w:eastAsia="仿宋_GB2312"/>
                <w:sz w:val="20"/>
                <w:color w:val="000000"/>
              </w:rPr>
              <w:t>2.1.3视窗：SAPPHIRE CRYSTAL（蓝宝石）；</w:t>
            </w:r>
            <w:r>
              <w:br/>
            </w:r>
            <w:r>
              <w:rPr>
                <w:rFonts w:ascii="仿宋_GB2312" w:hAnsi="仿宋_GB2312" w:cs="仿宋_GB2312" w:eastAsia="仿宋_GB2312"/>
                <w:sz w:val="20"/>
                <w:color w:val="000000"/>
              </w:rPr>
              <w:t>2.1.4视窗尺寸：直径70mm；</w:t>
            </w:r>
            <w:r>
              <w:br/>
            </w:r>
            <w:r>
              <w:rPr>
                <w:rFonts w:ascii="仿宋_GB2312" w:hAnsi="仿宋_GB2312" w:cs="仿宋_GB2312" w:eastAsia="仿宋_GB2312"/>
                <w:sz w:val="20"/>
                <w:color w:val="000000"/>
              </w:rPr>
              <w:t>2.1.5视窗数量：2件；</w:t>
            </w:r>
            <w:r>
              <w:br/>
            </w:r>
            <w:r>
              <w:rPr>
                <w:rFonts w:ascii="仿宋_GB2312" w:hAnsi="仿宋_GB2312" w:cs="仿宋_GB2312" w:eastAsia="仿宋_GB2312"/>
                <w:sz w:val="20"/>
                <w:color w:val="000000"/>
              </w:rPr>
              <w:t>2.1.6使用压力：≥50MPa；</w:t>
            </w:r>
            <w:r>
              <w:br/>
            </w:r>
            <w:r>
              <w:rPr>
                <w:rFonts w:ascii="仿宋_GB2312" w:hAnsi="仿宋_GB2312" w:cs="仿宋_GB2312" w:eastAsia="仿宋_GB2312"/>
                <w:sz w:val="20"/>
                <w:color w:val="000000"/>
              </w:rPr>
              <w:t>2.1.7工作温度：室温~120℃；</w:t>
            </w:r>
            <w:r>
              <w:br/>
            </w:r>
            <w:r>
              <w:rPr>
                <w:rFonts w:ascii="仿宋_GB2312" w:hAnsi="仿宋_GB2312" w:cs="仿宋_GB2312" w:eastAsia="仿宋_GB2312"/>
                <w:sz w:val="20"/>
                <w:color w:val="000000"/>
              </w:rPr>
              <w:t>2.1.8温度传感器：PT100；</w:t>
            </w:r>
            <w:r>
              <w:br/>
            </w:r>
            <w:r>
              <w:rPr>
                <w:rFonts w:ascii="仿宋_GB2312" w:hAnsi="仿宋_GB2312" w:cs="仿宋_GB2312" w:eastAsia="仿宋_GB2312"/>
                <w:sz w:val="20"/>
                <w:color w:val="000000"/>
              </w:rPr>
              <w:t>2.1.9密封件：FFKM（全氟醚橡胶）；</w:t>
            </w:r>
            <w:r>
              <w:br/>
            </w:r>
            <w:r>
              <w:rPr>
                <w:rFonts w:ascii="仿宋_GB2312" w:hAnsi="仿宋_GB2312" w:cs="仿宋_GB2312" w:eastAsia="仿宋_GB2312"/>
                <w:sz w:val="20"/>
                <w:color w:val="000000"/>
              </w:rPr>
              <w:t>2.1.10结构：双进双出。</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高温高压CO2微观可视化实验装置</w:t>
            </w:r>
          </w:p>
        </w:tc>
        <w:tc>
          <w:tcPr>
            <w:tcW w:type="dxa" w:w="2076"/>
          </w:tcPr>
          <w:p>
            <w:pPr>
              <w:pStyle w:val="null5"/>
              <w:jc w:val="left"/>
            </w:pPr>
            <w:r>
              <w:rPr>
                <w:rFonts w:ascii="仿宋_GB2312" w:hAnsi="仿宋_GB2312" w:cs="仿宋_GB2312" w:eastAsia="仿宋_GB2312"/>
                <w:sz w:val="20"/>
                <w:color w:val="000000"/>
              </w:rPr>
              <w:t>2.2芯片模型</w:t>
            </w:r>
            <w:r>
              <w:br/>
            </w:r>
            <w:r>
              <w:rPr>
                <w:rFonts w:ascii="仿宋_GB2312" w:hAnsi="仿宋_GB2312" w:cs="仿宋_GB2312" w:eastAsia="仿宋_GB2312"/>
                <w:sz w:val="20"/>
                <w:color w:val="000000"/>
              </w:rPr>
              <w:t>2.2.1尺寸：78*78mm；</w:t>
            </w:r>
            <w:r>
              <w:br/>
            </w:r>
            <w:r>
              <w:rPr>
                <w:rFonts w:ascii="仿宋_GB2312" w:hAnsi="仿宋_GB2312" w:cs="仿宋_GB2312" w:eastAsia="仿宋_GB2312"/>
                <w:sz w:val="20"/>
                <w:color w:val="000000"/>
              </w:rPr>
              <w:t>2.2.2观察尺寸：25*25mm；</w:t>
            </w:r>
            <w:r>
              <w:br/>
            </w:r>
            <w:r>
              <w:rPr>
                <w:rFonts w:ascii="仿宋_GB2312" w:hAnsi="仿宋_GB2312" w:cs="仿宋_GB2312" w:eastAsia="仿宋_GB2312"/>
                <w:sz w:val="20"/>
                <w:color w:val="000000"/>
              </w:rPr>
              <w:t>2.2.3孔隙直径：40~20μm；</w:t>
            </w:r>
            <w:r>
              <w:br/>
            </w:r>
            <w:r>
              <w:rPr>
                <w:rFonts w:ascii="仿宋_GB2312" w:hAnsi="仿宋_GB2312" w:cs="仿宋_GB2312" w:eastAsia="仿宋_GB2312"/>
                <w:sz w:val="20"/>
                <w:color w:val="000000"/>
              </w:rPr>
              <w:t>2.2.4注入口数量：2个；</w:t>
            </w:r>
            <w:r>
              <w:br/>
            </w:r>
            <w:r>
              <w:rPr>
                <w:rFonts w:ascii="仿宋_GB2312" w:hAnsi="仿宋_GB2312" w:cs="仿宋_GB2312" w:eastAsia="仿宋_GB2312"/>
                <w:sz w:val="20"/>
                <w:color w:val="000000"/>
              </w:rPr>
              <w:t>2.2.5产出口数量：2个。</w:t>
            </w:r>
            <w:r>
              <w:br/>
            </w:r>
            <w:r>
              <w:rPr>
                <w:rFonts w:ascii="仿宋_GB2312" w:hAnsi="仿宋_GB2312" w:cs="仿宋_GB2312" w:eastAsia="仿宋_GB2312"/>
                <w:sz w:val="20"/>
                <w:color w:val="000000"/>
              </w:rPr>
              <w:t>2.3高清高频摄像系统</w:t>
            </w:r>
            <w:r>
              <w:br/>
            </w:r>
            <w:r>
              <w:rPr>
                <w:rFonts w:ascii="仿宋_GB2312" w:hAnsi="仿宋_GB2312" w:cs="仿宋_GB2312" w:eastAsia="仿宋_GB2312"/>
                <w:sz w:val="20"/>
                <w:color w:val="000000"/>
              </w:rPr>
              <w:t>2.3.1全分辨率：≥1280*860；</w:t>
            </w:r>
            <w:r>
              <w:br/>
            </w:r>
            <w:r>
              <w:rPr>
                <w:rFonts w:ascii="仿宋_GB2312" w:hAnsi="仿宋_GB2312" w:cs="仿宋_GB2312" w:eastAsia="仿宋_GB2312"/>
                <w:sz w:val="20"/>
                <w:color w:val="000000"/>
              </w:rPr>
              <w:t>2.3.2开窗帧率：≥640*480@50fps； 2000万像素</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高温高压CO2微观可视化实验装置</w:t>
            </w:r>
          </w:p>
        </w:tc>
        <w:tc>
          <w:tcPr>
            <w:tcW w:type="dxa" w:w="2076"/>
          </w:tcPr>
          <w:p>
            <w:pPr>
              <w:pStyle w:val="null5"/>
              <w:jc w:val="left"/>
            </w:pPr>
            <w:r>
              <w:rPr>
                <w:rFonts w:ascii="仿宋_GB2312" w:hAnsi="仿宋_GB2312" w:cs="仿宋_GB2312" w:eastAsia="仿宋_GB2312"/>
                <w:sz w:val="20"/>
                <w:color w:val="000000"/>
              </w:rPr>
              <w:t>3. 计量注入装置</w:t>
            </w:r>
            <w:r>
              <w:br/>
            </w:r>
            <w:r>
              <w:rPr>
                <w:rFonts w:ascii="仿宋_GB2312" w:hAnsi="仿宋_GB2312" w:cs="仿宋_GB2312" w:eastAsia="仿宋_GB2312"/>
                <w:sz w:val="20"/>
                <w:color w:val="000000"/>
              </w:rPr>
              <w:t>3.1 润湿材质：316L</w:t>
            </w:r>
            <w:r>
              <w:br/>
            </w:r>
            <w:r>
              <w:rPr>
                <w:rFonts w:ascii="仿宋_GB2312" w:hAnsi="仿宋_GB2312" w:cs="仿宋_GB2312" w:eastAsia="仿宋_GB2312"/>
                <w:sz w:val="20"/>
                <w:color w:val="000000"/>
              </w:rPr>
              <w:t>3.2 容积：30mL</w:t>
            </w:r>
            <w:r>
              <w:br/>
            </w:r>
            <w:r>
              <w:rPr>
                <w:rFonts w:ascii="仿宋_GB2312" w:hAnsi="仿宋_GB2312" w:cs="仿宋_GB2312" w:eastAsia="仿宋_GB2312"/>
                <w:sz w:val="20"/>
                <w:color w:val="000000"/>
              </w:rPr>
              <w:t>3.3 压力：≥50MPa</w:t>
            </w:r>
            <w:r>
              <w:br/>
            </w:r>
            <w:r>
              <w:rPr>
                <w:rFonts w:ascii="仿宋_GB2312" w:hAnsi="仿宋_GB2312" w:cs="仿宋_GB2312" w:eastAsia="仿宋_GB2312"/>
                <w:sz w:val="20"/>
                <w:color w:val="000000"/>
              </w:rPr>
              <w:t>3.4缓冲容器：材质：304；容积：≤260mL；使用温度：室温；使用压力：≤50MPa</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高温高压CO2微观可视化实验装置</w:t>
            </w:r>
          </w:p>
        </w:tc>
        <w:tc>
          <w:tcPr>
            <w:tcW w:type="dxa" w:w="2076"/>
          </w:tcPr>
          <w:p>
            <w:pPr>
              <w:pStyle w:val="null5"/>
              <w:jc w:val="left"/>
            </w:pPr>
            <w:r>
              <w:rPr>
                <w:rFonts w:ascii="仿宋_GB2312" w:hAnsi="仿宋_GB2312" w:cs="仿宋_GB2312" w:eastAsia="仿宋_GB2312"/>
                <w:sz w:val="20"/>
                <w:color w:val="000000"/>
              </w:rPr>
              <w:t>4. 回压系统</w:t>
            </w:r>
            <w:r>
              <w:br/>
            </w:r>
            <w:r>
              <w:rPr>
                <w:rFonts w:ascii="仿宋_GB2312" w:hAnsi="仿宋_GB2312" w:cs="仿宋_GB2312" w:eastAsia="仿宋_GB2312"/>
                <w:sz w:val="20"/>
                <w:color w:val="000000"/>
              </w:rPr>
              <w:t>4.1 材质：316L不锈钢；</w:t>
            </w:r>
            <w:r>
              <w:br/>
            </w:r>
            <w:r>
              <w:rPr>
                <w:rFonts w:ascii="仿宋_GB2312" w:hAnsi="仿宋_GB2312" w:cs="仿宋_GB2312" w:eastAsia="仿宋_GB2312"/>
                <w:sz w:val="20"/>
                <w:color w:val="000000"/>
              </w:rPr>
              <w:t>4.2 阀芯：PEEK；</w:t>
            </w:r>
            <w:r>
              <w:br/>
            </w:r>
            <w:r>
              <w:rPr>
                <w:rFonts w:ascii="仿宋_GB2312" w:hAnsi="仿宋_GB2312" w:cs="仿宋_GB2312" w:eastAsia="仿宋_GB2312"/>
                <w:sz w:val="20"/>
                <w:color w:val="000000"/>
              </w:rPr>
              <w:t>4.3 密封材质：FFKM；</w:t>
            </w:r>
            <w:r>
              <w:br/>
            </w:r>
            <w:r>
              <w:rPr>
                <w:rFonts w:ascii="仿宋_GB2312" w:hAnsi="仿宋_GB2312" w:cs="仿宋_GB2312" w:eastAsia="仿宋_GB2312"/>
                <w:sz w:val="20"/>
                <w:color w:val="000000"/>
              </w:rPr>
              <w:t>4.4 结构：活塞/固定式；</w:t>
            </w:r>
            <w:r>
              <w:br/>
            </w:r>
            <w:r>
              <w:rPr>
                <w:rFonts w:ascii="仿宋_GB2312" w:hAnsi="仿宋_GB2312" w:cs="仿宋_GB2312" w:eastAsia="仿宋_GB2312"/>
                <w:sz w:val="20"/>
                <w:color w:val="000000"/>
              </w:rPr>
              <w:t>4.5 使用压力：≤50MPa；</w:t>
            </w:r>
            <w:r>
              <w:br/>
            </w:r>
            <w:r>
              <w:rPr>
                <w:rFonts w:ascii="仿宋_GB2312" w:hAnsi="仿宋_GB2312" w:cs="仿宋_GB2312" w:eastAsia="仿宋_GB2312"/>
                <w:sz w:val="20"/>
                <w:color w:val="000000"/>
              </w:rPr>
              <w:t>4.6 压力分辨率：≤0.1 MPa；</w:t>
            </w:r>
            <w:r>
              <w:br/>
            </w:r>
            <w:r>
              <w:rPr>
                <w:rFonts w:ascii="仿宋_GB2312" w:hAnsi="仿宋_GB2312" w:cs="仿宋_GB2312" w:eastAsia="仿宋_GB2312"/>
                <w:sz w:val="20"/>
                <w:color w:val="000000"/>
              </w:rPr>
              <w:t>4.7 使用温度：≤80℃。</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高温高压CO2微观可视化实验装置</w:t>
            </w:r>
          </w:p>
        </w:tc>
        <w:tc>
          <w:tcPr>
            <w:tcW w:type="dxa" w:w="2076"/>
          </w:tcPr>
          <w:p>
            <w:pPr>
              <w:pStyle w:val="null5"/>
              <w:jc w:val="left"/>
            </w:pPr>
            <w:r>
              <w:rPr>
                <w:rFonts w:ascii="仿宋_GB2312" w:hAnsi="仿宋_GB2312" w:cs="仿宋_GB2312" w:eastAsia="仿宋_GB2312"/>
                <w:sz w:val="20"/>
                <w:color w:val="000000"/>
              </w:rPr>
              <w:t>5. 整体加热保温系统</w:t>
            </w:r>
            <w:r>
              <w:br/>
            </w:r>
            <w:r>
              <w:rPr>
                <w:rFonts w:ascii="仿宋_GB2312" w:hAnsi="仿宋_GB2312" w:cs="仿宋_GB2312" w:eastAsia="仿宋_GB2312"/>
                <w:sz w:val="20"/>
                <w:color w:val="000000"/>
              </w:rPr>
              <w:t>5.1 加热装置：3层结构，电压：220V，功率：1100W</w:t>
            </w:r>
            <w:r>
              <w:br/>
            </w:r>
            <w:r>
              <w:rPr>
                <w:rFonts w:ascii="仿宋_GB2312" w:hAnsi="仿宋_GB2312" w:cs="仿宋_GB2312" w:eastAsia="仿宋_GB2312"/>
                <w:sz w:val="20"/>
                <w:color w:val="000000"/>
              </w:rPr>
              <w:t>5.2 控温模块温度采集模块，使用通道3路</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高温高压CO2微观可视化实验装置</w:t>
            </w:r>
          </w:p>
        </w:tc>
        <w:tc>
          <w:tcPr>
            <w:tcW w:type="dxa" w:w="2076"/>
          </w:tcPr>
          <w:p>
            <w:pPr>
              <w:pStyle w:val="null5"/>
              <w:jc w:val="left"/>
            </w:pPr>
            <w:r>
              <w:rPr>
                <w:rFonts w:ascii="仿宋_GB2312" w:hAnsi="仿宋_GB2312" w:cs="仿宋_GB2312" w:eastAsia="仿宋_GB2312"/>
                <w:sz w:val="20"/>
                <w:color w:val="000000"/>
              </w:rPr>
              <w:t>6. 采集分析系统</w:t>
            </w:r>
            <w:r>
              <w:br/>
            </w:r>
            <w:r>
              <w:rPr>
                <w:rFonts w:ascii="仿宋_GB2312" w:hAnsi="仿宋_GB2312" w:cs="仿宋_GB2312" w:eastAsia="仿宋_GB2312"/>
                <w:sz w:val="20"/>
                <w:color w:val="000000"/>
              </w:rPr>
              <w:t>6.1 采集模块：温度采集模块：使用通道3路</w:t>
            </w:r>
            <w:r>
              <w:br/>
            </w:r>
            <w:r>
              <w:rPr>
                <w:rFonts w:ascii="仿宋_GB2312" w:hAnsi="仿宋_GB2312" w:cs="仿宋_GB2312" w:eastAsia="仿宋_GB2312"/>
                <w:sz w:val="20"/>
                <w:color w:val="000000"/>
              </w:rPr>
              <w:t>6.2 压力采集4个，温度采集4个</w:t>
            </w:r>
            <w:r>
              <w:br/>
            </w:r>
            <w:r>
              <w:rPr>
                <w:rFonts w:ascii="仿宋_GB2312" w:hAnsi="仿宋_GB2312" w:cs="仿宋_GB2312" w:eastAsia="仿宋_GB2312"/>
                <w:sz w:val="20"/>
                <w:color w:val="000000"/>
              </w:rPr>
              <w:t>6.3图像处理分析软件，自动识别油水，油气界面，自动录像保存，自动调距功能；自动分析采收率；实时采集记录温度；流量，压力等数据，实时显示各参数曲线，自动生成报表。软件可兼容linux系统。</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高温高压CO2微观可视化实验装置</w:t>
            </w:r>
          </w:p>
        </w:tc>
        <w:tc>
          <w:tcPr>
            <w:tcW w:type="dxa" w:w="2076"/>
          </w:tcPr>
          <w:p>
            <w:pPr>
              <w:pStyle w:val="null5"/>
              <w:jc w:val="left"/>
            </w:pPr>
            <w:r>
              <w:rPr>
                <w:rFonts w:ascii="仿宋_GB2312" w:hAnsi="仿宋_GB2312" w:cs="仿宋_GB2312" w:eastAsia="仿宋_GB2312"/>
                <w:sz w:val="20"/>
                <w:color w:val="000000"/>
              </w:rPr>
              <w:t>7. 辅助系统</w:t>
            </w:r>
            <w:r>
              <w:br/>
            </w:r>
            <w:r>
              <w:rPr>
                <w:rFonts w:ascii="仿宋_GB2312" w:hAnsi="仿宋_GB2312" w:cs="仿宋_GB2312" w:eastAsia="仿宋_GB2312"/>
                <w:sz w:val="20"/>
                <w:color w:val="000000"/>
              </w:rPr>
              <w:t>7.1高精度天平，量程：300g；精度：0.01g;数量：1台</w:t>
            </w:r>
            <w:r>
              <w:br/>
            </w:r>
            <w:r>
              <w:rPr>
                <w:rFonts w:ascii="仿宋_GB2312" w:hAnsi="仿宋_GB2312" w:cs="仿宋_GB2312" w:eastAsia="仿宋_GB2312"/>
                <w:sz w:val="20"/>
                <w:color w:val="000000"/>
              </w:rPr>
              <w:t>7.2真空系统，抽速 (60Hz)：8m3/h～60m3/h；真空度：4×10-4 mbr；噪音：54/56DB；含真空表；缓冲瓶；排空阀等；</w:t>
            </w:r>
            <w:r>
              <w:br/>
            </w:r>
            <w:r>
              <w:rPr>
                <w:rFonts w:ascii="仿宋_GB2312" w:hAnsi="仿宋_GB2312" w:cs="仿宋_GB2312" w:eastAsia="仿宋_GB2312"/>
                <w:sz w:val="20"/>
                <w:color w:val="000000"/>
              </w:rPr>
              <w:t>7.3操作终端：性能不低于: I7-12700处理器，内存≥16G，硬盘≥512G+1T，≥27英寸高清2K显示器，配键盘鼠标。</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高温高压CO2微观可视化实验装置</w:t>
            </w:r>
          </w:p>
        </w:tc>
        <w:tc>
          <w:tcPr>
            <w:tcW w:type="dxa" w:w="2076"/>
          </w:tcPr>
          <w:p>
            <w:pPr>
              <w:pStyle w:val="null5"/>
              <w:jc w:val="left"/>
            </w:pPr>
            <w:r>
              <w:rPr>
                <w:rFonts w:ascii="仿宋_GB2312" w:hAnsi="仿宋_GB2312" w:cs="仿宋_GB2312" w:eastAsia="仿宋_GB2312"/>
                <w:sz w:val="20"/>
                <w:color w:val="000000"/>
              </w:rPr>
              <w:t>8. 安全系统及附件</w:t>
            </w:r>
            <w:r>
              <w:br/>
            </w:r>
            <w:r>
              <w:rPr>
                <w:rFonts w:ascii="仿宋_GB2312" w:hAnsi="仿宋_GB2312" w:cs="仿宋_GB2312" w:eastAsia="仿宋_GB2312"/>
                <w:sz w:val="20"/>
                <w:color w:val="000000"/>
              </w:rPr>
              <w:t>8.1 安全阀</w:t>
            </w:r>
            <w:r>
              <w:br/>
            </w:r>
            <w:r>
              <w:rPr>
                <w:rFonts w:ascii="仿宋_GB2312" w:hAnsi="仿宋_GB2312" w:cs="仿宋_GB2312" w:eastAsia="仿宋_GB2312"/>
                <w:sz w:val="20"/>
                <w:color w:val="000000"/>
              </w:rPr>
              <w:t>8.1.1自主设定超压保护，超压自动泄压；</w:t>
            </w:r>
            <w:r>
              <w:br/>
            </w:r>
            <w:r>
              <w:rPr>
                <w:rFonts w:ascii="仿宋_GB2312" w:hAnsi="仿宋_GB2312" w:cs="仿宋_GB2312" w:eastAsia="仿宋_GB2312"/>
                <w:sz w:val="20"/>
                <w:color w:val="000000"/>
              </w:rPr>
              <w:t>8.1.2 工作温度：室温~120℃；</w:t>
            </w:r>
            <w:r>
              <w:br/>
            </w:r>
            <w:r>
              <w:rPr>
                <w:rFonts w:ascii="仿宋_GB2312" w:hAnsi="仿宋_GB2312" w:cs="仿宋_GB2312" w:eastAsia="仿宋_GB2312"/>
                <w:sz w:val="20"/>
                <w:color w:val="000000"/>
              </w:rPr>
              <w:t>8.1.3软件自带自检措施，遇超温、超压、漏失自动停机、报警。</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高温高压CO2微观可视化实验装置</w:t>
            </w:r>
          </w:p>
        </w:tc>
        <w:tc>
          <w:tcPr>
            <w:tcW w:type="dxa" w:w="2076"/>
          </w:tcPr>
          <w:p>
            <w:pPr>
              <w:pStyle w:val="null5"/>
              <w:jc w:val="left"/>
            </w:pPr>
            <w:r>
              <w:rPr>
                <w:rFonts w:ascii="仿宋_GB2312" w:hAnsi="仿宋_GB2312" w:cs="仿宋_GB2312" w:eastAsia="仿宋_GB2312"/>
                <w:sz w:val="20"/>
                <w:color w:val="000000"/>
              </w:rPr>
              <w:t>8.2 其它</w:t>
            </w:r>
            <w:r>
              <w:br/>
            </w:r>
            <w:r>
              <w:rPr>
                <w:rFonts w:ascii="仿宋_GB2312" w:hAnsi="仿宋_GB2312" w:cs="仿宋_GB2312" w:eastAsia="仿宋_GB2312"/>
                <w:sz w:val="20"/>
                <w:color w:val="000000"/>
              </w:rPr>
              <w:t>8.2.1管线：SS316L；直径：1/8英寸；</w:t>
            </w:r>
            <w:r>
              <w:br/>
            </w:r>
            <w:r>
              <w:rPr>
                <w:rFonts w:ascii="仿宋_GB2312" w:hAnsi="仿宋_GB2312" w:cs="仿宋_GB2312" w:eastAsia="仿宋_GB2312"/>
                <w:sz w:val="20"/>
                <w:color w:val="000000"/>
              </w:rPr>
              <w:t>8.2.2阀门：针阀;接口：1/8英寸双卡套；</w:t>
            </w:r>
            <w:r>
              <w:br/>
            </w:r>
            <w:r>
              <w:rPr>
                <w:rFonts w:ascii="仿宋_GB2312" w:hAnsi="仿宋_GB2312" w:cs="仿宋_GB2312" w:eastAsia="仿宋_GB2312"/>
                <w:sz w:val="20"/>
                <w:color w:val="000000"/>
              </w:rPr>
              <w:t>8.2.3电磁气动：SS210。</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高温高压二氧化碳PVT实验装置</w:t>
            </w:r>
          </w:p>
        </w:tc>
        <w:tc>
          <w:tcPr>
            <w:tcW w:type="dxa" w:w="2076"/>
          </w:tcPr>
          <w:p>
            <w:pPr>
              <w:pStyle w:val="null5"/>
              <w:jc w:val="left"/>
            </w:pPr>
            <w:r>
              <w:rPr>
                <w:rFonts w:ascii="仿宋_GB2312" w:hAnsi="仿宋_GB2312" w:cs="仿宋_GB2312" w:eastAsia="仿宋_GB2312"/>
                <w:sz w:val="20"/>
                <w:color w:val="000000"/>
              </w:rPr>
              <w:t>数量：</w:t>
            </w:r>
            <w:r>
              <w:rPr>
                <w:rFonts w:ascii="仿宋_GB2312" w:hAnsi="仿宋_GB2312" w:cs="仿宋_GB2312" w:eastAsia="仿宋_GB2312"/>
                <w:sz w:val="20"/>
                <w:color w:val="000000"/>
              </w:rPr>
              <w:t>1台</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高温高压二氧化碳PVT实验装置</w:t>
            </w:r>
          </w:p>
        </w:tc>
        <w:tc>
          <w:tcPr>
            <w:tcW w:type="dxa" w:w="2076"/>
          </w:tcPr>
          <w:p>
            <w:pPr>
              <w:pStyle w:val="null5"/>
              <w:jc w:val="left"/>
            </w:pPr>
            <w:r>
              <w:rPr>
                <w:rFonts w:ascii="仿宋_GB2312" w:hAnsi="仿宋_GB2312" w:cs="仿宋_GB2312" w:eastAsia="仿宋_GB2312"/>
                <w:sz w:val="20"/>
                <w:color w:val="000000"/>
              </w:rPr>
              <w:t>1.高温高压二氧化碳PVT实验装置主体</w:t>
            </w:r>
            <w:r>
              <w:br/>
            </w:r>
            <w:r>
              <w:rPr>
                <w:rFonts w:ascii="仿宋_GB2312" w:hAnsi="仿宋_GB2312" w:cs="仿宋_GB2312" w:eastAsia="仿宋_GB2312"/>
                <w:sz w:val="20"/>
                <w:color w:val="000000"/>
              </w:rPr>
              <w:t>1.1主机腔体体积：≥260mL，体积精度：0.001mL</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高温高压二氧化碳PVT实验装置</w:t>
            </w:r>
          </w:p>
        </w:tc>
        <w:tc>
          <w:tcPr>
            <w:tcW w:type="dxa" w:w="2076"/>
          </w:tcPr>
          <w:p>
            <w:pPr>
              <w:pStyle w:val="null5"/>
              <w:jc w:val="left"/>
            </w:pPr>
            <w:r>
              <w:rPr>
                <w:rFonts w:ascii="仿宋_GB2312" w:hAnsi="仿宋_GB2312" w:cs="仿宋_GB2312" w:eastAsia="仿宋_GB2312"/>
                <w:sz w:val="20"/>
                <w:color w:val="000000"/>
              </w:rPr>
              <w:t>1.2最高耐温：≥120℃，控温精度0.1℃；温度采集精度为±0.05℃，双输出控温模式</w:t>
            </w:r>
          </w:p>
        </w:tc>
      </w:tr>
      <w:tr>
        <w:tc>
          <w:tcPr>
            <w:tcW w:type="dxa" w:w="2076"/>
          </w:tcPr>
          <w:p>
            <w:pPr>
              <w:pStyle w:val="null5"/>
              <w:jc w:val="left"/>
            </w:pPr>
            <w:r>
              <w:rPr>
                <w:rFonts w:ascii="仿宋_GB2312" w:hAnsi="仿宋_GB2312" w:cs="仿宋_GB2312" w:eastAsia="仿宋_GB2312"/>
              </w:rPr>
              <w:t>20</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高温高压二氧化碳PVT实验装置</w:t>
            </w:r>
          </w:p>
        </w:tc>
        <w:tc>
          <w:tcPr>
            <w:tcW w:type="dxa" w:w="2076"/>
          </w:tcPr>
          <w:p>
            <w:pPr>
              <w:pStyle w:val="null5"/>
              <w:jc w:val="left"/>
            </w:pPr>
            <w:r>
              <w:rPr>
                <w:rFonts w:ascii="仿宋_GB2312" w:hAnsi="仿宋_GB2312" w:cs="仿宋_GB2312" w:eastAsia="仿宋_GB2312"/>
                <w:sz w:val="20"/>
                <w:color w:val="000000"/>
              </w:rPr>
              <w:t>1.3工作压力：0~50MPa，压力精度0.01级；数显分辨率：0.01MPa；平模分体式高精度传感器耐压：≥50MPa；耐温：≥120℃</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高温高压二氧化碳PVT实验装置</w:t>
            </w:r>
          </w:p>
        </w:tc>
        <w:tc>
          <w:tcPr>
            <w:tcW w:type="dxa" w:w="2076"/>
          </w:tcPr>
          <w:p>
            <w:pPr>
              <w:pStyle w:val="null5"/>
              <w:jc w:val="left"/>
            </w:pPr>
            <w:r>
              <w:rPr>
                <w:rFonts w:ascii="仿宋_GB2312" w:hAnsi="仿宋_GB2312" w:cs="仿宋_GB2312" w:eastAsia="仿宋_GB2312"/>
                <w:sz w:val="20"/>
                <w:color w:val="000000"/>
              </w:rPr>
              <w:t>1.4旋转角度：-90°~90°；摆动速度：0.1~10次/分，可调</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高温高压二氧化碳PVT实验装置</w:t>
            </w:r>
          </w:p>
        </w:tc>
        <w:tc>
          <w:tcPr>
            <w:tcW w:type="dxa" w:w="2076"/>
          </w:tcPr>
          <w:p>
            <w:pPr>
              <w:pStyle w:val="null5"/>
              <w:jc w:val="left"/>
            </w:pPr>
            <w:r>
              <w:rPr>
                <w:rFonts w:ascii="仿宋_GB2312" w:hAnsi="仿宋_GB2312" w:cs="仿宋_GB2312" w:eastAsia="仿宋_GB2312"/>
                <w:sz w:val="20"/>
                <w:color w:val="000000"/>
              </w:rPr>
              <w:t>1.5加热采用筒体内嵌入式均布加热棒加热；具有程序控温，斜率控温，梯度控温功能；温度传感器测量范围：0～250℃，最大工作压力：50MPa，采集精度：0.1%FS</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高温高压二氧化碳PVT实验装置</w:t>
            </w:r>
          </w:p>
        </w:tc>
        <w:tc>
          <w:tcPr>
            <w:tcW w:type="dxa" w:w="2076"/>
          </w:tcPr>
          <w:p>
            <w:pPr>
              <w:pStyle w:val="null5"/>
              <w:jc w:val="left"/>
            </w:pPr>
            <w:r>
              <w:rPr>
                <w:rFonts w:ascii="仿宋_GB2312" w:hAnsi="仿宋_GB2312" w:cs="仿宋_GB2312" w:eastAsia="仿宋_GB2312"/>
                <w:sz w:val="20"/>
                <w:color w:val="000000"/>
              </w:rPr>
              <w:t>1.6釜体润湿材质：316L不锈钢锻件，耐酸碱介质，耐CO2腐蚀</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高温高压二氧化碳PVT实验装置</w:t>
            </w:r>
          </w:p>
        </w:tc>
        <w:tc>
          <w:tcPr>
            <w:tcW w:type="dxa" w:w="2076"/>
          </w:tcPr>
          <w:p>
            <w:pPr>
              <w:pStyle w:val="null5"/>
              <w:jc w:val="left"/>
            </w:pPr>
            <w:r>
              <w:rPr>
                <w:rFonts w:ascii="仿宋_GB2312" w:hAnsi="仿宋_GB2312" w:cs="仿宋_GB2312" w:eastAsia="仿宋_GB2312"/>
                <w:sz w:val="20"/>
                <w:color w:val="000000"/>
              </w:rPr>
              <w:t>1.7配以光栅尺进行位移测量，配千分之五压力传感器，配温度传感器，活塞运动机构对压力信号、体积变化的控制，直接测试P、V、T各项参数</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高温高压二氧化碳PVT实验装置</w:t>
            </w:r>
          </w:p>
        </w:tc>
        <w:tc>
          <w:tcPr>
            <w:tcW w:type="dxa" w:w="2076"/>
          </w:tcPr>
          <w:p>
            <w:pPr>
              <w:pStyle w:val="null5"/>
              <w:jc w:val="left"/>
            </w:pPr>
            <w:r>
              <w:rPr>
                <w:rFonts w:ascii="仿宋_GB2312" w:hAnsi="仿宋_GB2312" w:cs="仿宋_GB2312" w:eastAsia="仿宋_GB2312"/>
                <w:sz w:val="20"/>
                <w:color w:val="000000"/>
              </w:rPr>
              <w:t>1.8有蓝宝石视镜，工业摄像机，光纤传导照明；像素：≥1000万；分辨率：≥2452×2056</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高温高压二氧化碳PVT实验装置</w:t>
            </w:r>
          </w:p>
        </w:tc>
        <w:tc>
          <w:tcPr>
            <w:tcW w:type="dxa" w:w="2076"/>
          </w:tcPr>
          <w:p>
            <w:pPr>
              <w:pStyle w:val="null5"/>
              <w:jc w:val="left"/>
            </w:pPr>
            <w:r>
              <w:rPr>
                <w:rFonts w:ascii="仿宋_GB2312" w:hAnsi="仿宋_GB2312" w:cs="仿宋_GB2312" w:eastAsia="仿宋_GB2312"/>
                <w:sz w:val="20"/>
                <w:color w:val="000000"/>
              </w:rPr>
              <w:t>1.9电气：220VAC50Hz；配有超压、超温安全自动保护; 控制电柜：1.2*1.5*2.0米；配有开关电源，驱动器，双路温度控制器；光纤光源；位移传感器等；</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高温高压二氧化碳PVT实验装置</w:t>
            </w:r>
          </w:p>
        </w:tc>
        <w:tc>
          <w:tcPr>
            <w:tcW w:type="dxa" w:w="2076"/>
          </w:tcPr>
          <w:p>
            <w:pPr>
              <w:pStyle w:val="null5"/>
              <w:jc w:val="left"/>
            </w:pPr>
            <w:r>
              <w:rPr>
                <w:rFonts w:ascii="仿宋_GB2312" w:hAnsi="仿宋_GB2312" w:cs="仿宋_GB2312" w:eastAsia="仿宋_GB2312"/>
                <w:sz w:val="20"/>
                <w:color w:val="000000"/>
              </w:rPr>
              <w:t>1.10高温高压手动阀、高温高压气动阀，最大工作压力：50MPa；最高工作温度：120℃。</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高温高压二氧化碳PVT实验装置</w:t>
            </w:r>
          </w:p>
        </w:tc>
        <w:tc>
          <w:tcPr>
            <w:tcW w:type="dxa" w:w="2076"/>
          </w:tcPr>
          <w:p>
            <w:pPr>
              <w:pStyle w:val="null5"/>
              <w:jc w:val="left"/>
            </w:pPr>
            <w:r>
              <w:rPr>
                <w:rFonts w:ascii="仿宋_GB2312" w:hAnsi="仿宋_GB2312" w:cs="仿宋_GB2312" w:eastAsia="仿宋_GB2312"/>
                <w:sz w:val="20"/>
                <w:color w:val="000000"/>
              </w:rPr>
              <w:t>1.11磁力搅拌：电磁耦合搅拌；伸缩式搅拌桨；钐钴磁铁；</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高温高压二氧化碳PVT实验装置</w:t>
            </w:r>
          </w:p>
        </w:tc>
        <w:tc>
          <w:tcPr>
            <w:tcW w:type="dxa" w:w="2076"/>
          </w:tcPr>
          <w:p>
            <w:pPr>
              <w:pStyle w:val="null5"/>
              <w:jc w:val="left"/>
            </w:pPr>
            <w:r>
              <w:rPr>
                <w:rFonts w:ascii="仿宋_GB2312" w:hAnsi="仿宋_GB2312" w:cs="仿宋_GB2312" w:eastAsia="仿宋_GB2312"/>
                <w:sz w:val="20"/>
                <w:color w:val="000000"/>
              </w:rPr>
              <w:t>2.恒定注入系统</w:t>
            </w:r>
            <w:r>
              <w:br/>
            </w:r>
            <w:r>
              <w:rPr>
                <w:rFonts w:ascii="仿宋_GB2312" w:hAnsi="仿宋_GB2312" w:cs="仿宋_GB2312" w:eastAsia="仿宋_GB2312"/>
                <w:sz w:val="20"/>
                <w:color w:val="000000"/>
              </w:rPr>
              <w:t>2.1稳压恒速电动计量泵，耐压：≥50MPa，压力精度：0.1级，耐温：≥120℃，流速范围：0.001～30mL/min，体积：≥100mL，体积精度±0.01mL</w:t>
            </w:r>
            <w:r>
              <w:br/>
            </w:r>
            <w:r>
              <w:rPr>
                <w:rFonts w:ascii="仿宋_GB2312" w:hAnsi="仿宋_GB2312" w:cs="仿宋_GB2312" w:eastAsia="仿宋_GB2312"/>
                <w:sz w:val="20"/>
                <w:color w:val="000000"/>
              </w:rPr>
              <w:t>2.2气体增压装置，压缩比：1:50，进气压力：1~2.8MPa，最高输出压力：≥50MPa</w:t>
            </w:r>
            <w:r>
              <w:br/>
            </w:r>
            <w:r>
              <w:rPr>
                <w:rFonts w:ascii="仿宋_GB2312" w:hAnsi="仿宋_GB2312" w:cs="仿宋_GB2312" w:eastAsia="仿宋_GB2312"/>
                <w:sz w:val="20"/>
                <w:color w:val="000000"/>
              </w:rPr>
              <w:t>2.3空气压缩机，噪音：50~60dB，排气量：≥0.25 m3/min，气缸数：4，使用压力：0.8 MPa，气筒容量：30 L。</w:t>
            </w:r>
            <w:r>
              <w:br/>
            </w:r>
            <w:r>
              <w:rPr>
                <w:rFonts w:ascii="仿宋_GB2312" w:hAnsi="仿宋_GB2312" w:cs="仿宋_GB2312" w:eastAsia="仿宋_GB2312"/>
                <w:sz w:val="20"/>
                <w:color w:val="000000"/>
              </w:rPr>
              <w:t>2.4容器容积：材质：316L；容积：100mL，使用温度：120℃，使用压力：50MPa；密封方式：泛赛圈；</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高温高压二氧化碳PVT实验装置</w:t>
            </w:r>
          </w:p>
        </w:tc>
        <w:tc>
          <w:tcPr>
            <w:tcW w:type="dxa" w:w="2076"/>
          </w:tcPr>
          <w:p>
            <w:pPr>
              <w:pStyle w:val="null5"/>
              <w:jc w:val="left"/>
            </w:pPr>
            <w:r>
              <w:rPr>
                <w:rFonts w:ascii="仿宋_GB2312" w:hAnsi="仿宋_GB2312" w:cs="仿宋_GB2312" w:eastAsia="仿宋_GB2312"/>
                <w:sz w:val="20"/>
                <w:color w:val="000000"/>
              </w:rPr>
              <w:t>3.软件采集系统：随机自带软件设有设备安全自动检测后台程序，当电机到达极限位置或温度、压力超过最大安全压力时，软件自动禁止电机动作或停止加热。提供实验数据处理PVT数据分析软件。软件可兼容linux系统。</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高温高压二氧化碳PVT实验装置</w:t>
            </w:r>
          </w:p>
        </w:tc>
        <w:tc>
          <w:tcPr>
            <w:tcW w:type="dxa" w:w="2076"/>
          </w:tcPr>
          <w:p>
            <w:pPr>
              <w:pStyle w:val="null5"/>
              <w:jc w:val="left"/>
            </w:pPr>
            <w:r>
              <w:rPr>
                <w:rFonts w:ascii="仿宋_GB2312" w:hAnsi="仿宋_GB2312" w:cs="仿宋_GB2312" w:eastAsia="仿宋_GB2312"/>
                <w:sz w:val="20"/>
                <w:color w:val="000000"/>
              </w:rPr>
              <w:t>4.安全环保及其它</w:t>
            </w:r>
            <w:r>
              <w:br/>
            </w:r>
            <w:r>
              <w:rPr>
                <w:rFonts w:ascii="仿宋_GB2312" w:hAnsi="仿宋_GB2312" w:cs="仿宋_GB2312" w:eastAsia="仿宋_GB2312"/>
                <w:sz w:val="20"/>
                <w:color w:val="000000"/>
              </w:rPr>
              <w:t xml:space="preserve">4.1取样器：材质：316L；容积：20mL；使用压力50MPa;使用温度：120℃；含加热保温； </w:t>
            </w:r>
            <w:r>
              <w:br/>
            </w:r>
            <w:r>
              <w:rPr>
                <w:rFonts w:ascii="仿宋_GB2312" w:hAnsi="仿宋_GB2312" w:cs="仿宋_GB2312" w:eastAsia="仿宋_GB2312"/>
                <w:sz w:val="20"/>
                <w:color w:val="000000"/>
              </w:rPr>
              <w:t>4.2自主设定超压保护，超压自动泄压。工作温度：室温~120℃，软件自带自检措施，遇超温、超压、漏失自动停机、报警；</w:t>
            </w:r>
            <w:r>
              <w:br/>
            </w:r>
            <w:r>
              <w:rPr>
                <w:rFonts w:ascii="仿宋_GB2312" w:hAnsi="仿宋_GB2312" w:cs="仿宋_GB2312" w:eastAsia="仿宋_GB2312"/>
                <w:sz w:val="20"/>
                <w:color w:val="000000"/>
              </w:rPr>
              <w:t>4.3主机适配安全防护罩。首先考虑到若出现安全事故，罩内压力可从顶部释压，其次方便设备维护时吊车启用，将安全防护罩设计为无顶模式。</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供货要求</w:t>
            </w:r>
          </w:p>
        </w:tc>
        <w:tc>
          <w:tcPr>
            <w:tcW w:type="dxa" w:w="4153"/>
          </w:tcPr>
          <w:p>
            <w:pPr>
              <w:pStyle w:val="null5"/>
              <w:jc w:val="left"/>
            </w:pPr>
            <w:r>
              <w:rPr>
                <w:rFonts w:ascii="仿宋_GB2312" w:hAnsi="仿宋_GB2312" w:cs="仿宋_GB2312" w:eastAsia="仿宋_GB2312"/>
              </w:rPr>
              <w:t>供应商必须严格按政府采购合同所规定技术指标供货，符合规定名称、型号规格、数量或重量等。</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包装要求</w:t>
            </w:r>
          </w:p>
        </w:tc>
        <w:tc>
          <w:tcPr>
            <w:tcW w:type="dxa" w:w="4153"/>
          </w:tcPr>
          <w:p>
            <w:pPr>
              <w:pStyle w:val="null5"/>
              <w:jc w:val="left"/>
            </w:pPr>
            <w:r>
              <w:rPr>
                <w:rFonts w:ascii="仿宋_GB2312" w:hAnsi="仿宋_GB2312" w:cs="仿宋_GB2312" w:eastAsia="仿宋_GB2312"/>
              </w:rPr>
              <w:t>提供的全部货物须采用适当的保护措施进行包装并符合相应的包装标准。同时这种包装应适于长途运输，并有良好的防潮、防震、防锈和防野蛮装卸等保护以确保货物安全运抵现场。供应商应承担由于包装不妥而引起货物锈蚀、损坏和丢失的责任；每件包装中应附有详细装箱单和质量证书；</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质量保证</w:t>
            </w:r>
          </w:p>
        </w:tc>
        <w:tc>
          <w:tcPr>
            <w:tcW w:type="dxa" w:w="4153"/>
          </w:tcPr>
          <w:p>
            <w:pPr>
              <w:pStyle w:val="null5"/>
              <w:jc w:val="left"/>
            </w:pPr>
            <w:r>
              <w:rPr>
                <w:rFonts w:ascii="仿宋_GB2312" w:hAnsi="仿宋_GB2312" w:cs="仿宋_GB2312" w:eastAsia="仿宋_GB2312"/>
              </w:rPr>
              <w:t>货物是已定型上市销售的全新、原产地、原包装、手续合法完整、渠道正规的产品，完全符合合同规定质量、规格和性能的要求。如发现货物有其它潜在缺陷及供应商使用了不符合标准要求或不符合响应文件承诺的原材料、零部件、外购件，采购人有权退货或向供应商索赔。</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技术文件</w:t>
            </w:r>
          </w:p>
        </w:tc>
        <w:tc>
          <w:tcPr>
            <w:tcW w:type="dxa" w:w="4153"/>
          </w:tcPr>
          <w:p>
            <w:pPr>
              <w:pStyle w:val="null5"/>
              <w:jc w:val="left"/>
            </w:pPr>
            <w:r>
              <w:rPr>
                <w:rFonts w:ascii="仿宋_GB2312" w:hAnsi="仿宋_GB2312" w:cs="仿宋_GB2312" w:eastAsia="仿宋_GB2312"/>
              </w:rPr>
              <w:t>供应商成交后在供货时需提供①货物、货物的备品备件手册、使用手册、安装使用指南、维护维修及保养说明书或服务手册；②货物的合格证、保修卡等；③设备的详细介绍资料；④所有设备均要求技术资料完整，包括完整的中文资料及相应的完整光盘资料。</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设备安装调试要求</w:t>
            </w:r>
          </w:p>
        </w:tc>
        <w:tc>
          <w:tcPr>
            <w:tcW w:type="dxa" w:w="4153"/>
          </w:tcPr>
          <w:p>
            <w:pPr>
              <w:pStyle w:val="null5"/>
              <w:jc w:val="left"/>
            </w:pPr>
            <w:r>
              <w:rPr>
                <w:rFonts w:ascii="仿宋_GB2312" w:hAnsi="仿宋_GB2312" w:cs="仿宋_GB2312" w:eastAsia="仿宋_GB2312"/>
              </w:rPr>
              <w:t>1、供应商必须严格按所规定技术指标供货，符合规定名称、型号规格等。2、供应商负责提供设备的运输、安装、调试直至设备运行符合要求，产生费用均由供应商承担。</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售后服务标准</w:t>
            </w:r>
          </w:p>
        </w:tc>
        <w:tc>
          <w:tcPr>
            <w:tcW w:type="dxa" w:w="4153"/>
          </w:tcPr>
          <w:p>
            <w:pPr>
              <w:pStyle w:val="null5"/>
              <w:jc w:val="left"/>
            </w:pPr>
            <w:r>
              <w:rPr>
                <w:rFonts w:ascii="仿宋_GB2312" w:hAnsi="仿宋_GB2312" w:cs="仿宋_GB2312" w:eastAsia="仿宋_GB2312"/>
              </w:rPr>
              <w:t>1、供应商对所提供设备提供7*24小时免费保修服务；2、享受终身上门维修服务，质保期内所发生的非人为产生的一切费用包括设备维修或更换、人员交通、差旅服务费等费用全部由供应商承担，质保期外维修只收取成本费。</w:t>
            </w:r>
          </w:p>
        </w:tc>
      </w:tr>
      <w:tr>
        <w:tc>
          <w:tcPr>
            <w:tcW w:type="dxa" w:w="1038"/>
          </w:tcPr>
          <w:p>
            <w:pPr>
              <w:pStyle w:val="null5"/>
              <w:jc w:val="left"/>
            </w:pPr>
            <w:r>
              <w:rPr>
                <w:rFonts w:ascii="仿宋_GB2312" w:hAnsi="仿宋_GB2312" w:cs="仿宋_GB2312" w:eastAsia="仿宋_GB2312"/>
              </w:rPr>
              <w:t>7</w:t>
            </w:r>
          </w:p>
        </w:tc>
        <w:tc>
          <w:tcPr>
            <w:tcW w:type="dxa" w:w="3115"/>
          </w:tcPr>
          <w:p>
            <w:pPr>
              <w:pStyle w:val="null5"/>
              <w:jc w:val="left"/>
            </w:pPr>
            <w:r>
              <w:rPr>
                <w:rFonts w:ascii="仿宋_GB2312" w:hAnsi="仿宋_GB2312" w:cs="仿宋_GB2312" w:eastAsia="仿宋_GB2312"/>
              </w:rPr>
              <w:t>项目全生命周期成本要求</w:t>
            </w:r>
          </w:p>
        </w:tc>
        <w:tc>
          <w:tcPr>
            <w:tcW w:type="dxa" w:w="4153"/>
          </w:tcPr>
          <w:p>
            <w:pPr>
              <w:pStyle w:val="null5"/>
              <w:jc w:val="left"/>
            </w:pPr>
            <w:r>
              <w:rPr>
                <w:rFonts w:ascii="仿宋_GB2312" w:hAnsi="仿宋_GB2312" w:cs="仿宋_GB2312" w:eastAsia="仿宋_GB2312"/>
              </w:rPr>
              <w:t>一、项目全生命周期成本要求 1.专用耗材 高温高压CO2微观可视化实验装置需定期更换的专用耗材主要包括：密封圈、热电偶、芯片、阀门等。 高温高压二氧化碳PVT实验装置需定期更换的专用耗材主要包括：密封 圈、热电偶、可视窗、冷光源、阀门等。 密封圈、阀门等设备耗材在质保期内如出现质量问题，需免费更换。 2.后续服务 1.技术服务：7×24 小时技术支持。 2.稳定供应：保证提供原厂或指定兼容品质耗材，确保长期稳定供应。 3.采购便利：可随时采购，我方将提供快速供货服务。 3.价格锁定机制、期限及调整规则 （1）价格锁定 自设备质保期满后3年，各项目的专用耗材单价保持不变，不予上调。锁定成交供应商投报的《采购项目全生命周期成本专用耗材单价表》中的单价。 （2）锁定期限 价格锁定期为质保期满后3年。在此期间，无论市场如何变化，按此价格执行，绝不提价。 （3）价格调整 当满足以下全部条件时，方可协商调整： ①因签订合同后发生的、双方不可预见的重大政策或原材料市场突变（需提供权威证明）。合同履行期内，如遇原材料市场价格下跌，供应商应同步下调报价。 ②仅在设备交付满锁定期后，遇不可预见重大政策调整或原材料暴涨，经双方书面确认，单项价格涨幅不得超过5%。</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合同签订后40个工作日内完成全部货物的供货、安装、调试和培训工作，符合国家标准、行业规范和合同等相关文件的要求。</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山东石油化工学院指定地点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合同支付方式：供应商按合同要求供货，设备安装调试完成、验收合格无质量问题及其他争议，采购人收到供应商发票后付至合同总金额的95%，一年后无息付清。</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质保期：免费质量保证期要求不低于3年，供应商亦可提报更⻓的质保期。本项目产品的质量质保期为自验收通过之日起，所有产品均需在质保期内免费上门。</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合同履行期限：自本项目签订合同之日起至质保期结束。</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1、本项目共两轮报价，第一轮为磋商前基础报价，第二轮报价为磋商后最终报价。 磋商小组与供应商分别进行磋商完成后，通过评标系统向实质性响应的供应商发起最终报价要求，要求所有供应商在规定时间（60分钟）内进行最终报价，提交最终报价的供应商不得少于3家（若供应商未在规定时间（60分钟）内提交最终报价，视为退出磋商）。 2、投标截止时间后，成功提交响应文件的供应商符合磋商文件规定数量的，代理机构将启动响应文件解密程序，解密时间为60分钟；供应商应在规定的解密时间内，使用加密响应文件的数字证书进行响应文件解密。除因平台系统故障导致供应商未按时完成解密外，供应商未在规定的解密时间内完成解密的，按无效投标处理。 3、报价相关要求：本项⽬报价为含税全包价，包含完成全部供货所需全部成本，采购⼈不再另⾏⽀付其他费⽤；供应商仅能提供⼀套固定报价，不得设置多套备选报价；评审中报价经修正的，供应商须按要求电⼦签章确认，逾期未确认按⽆效响应处理；报价应客观合理，触发异常低价审查时须提供成本相关佐证材料，⽆法说明合理性的作⽆效响应处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一、第三章“技术、服务及其他要求”中“3.2.技术要求”，“3.3.服务要求 ”：</w:t>
      </w:r>
    </w:p>
    <w:p>
      <w:pPr>
        <w:pStyle w:val="null5"/>
        <w:ind w:firstLine="480"/>
        <w:jc w:val="left"/>
      </w:pPr>
      <w:r>
        <w:rPr>
          <w:rFonts w:ascii="仿宋_GB2312" w:hAnsi="仿宋_GB2312" w:cs="仿宋_GB2312" w:eastAsia="仿宋_GB2312"/>
          <w:sz w:val="21"/>
        </w:rPr>
        <w:t>详见第三章</w:t>
      </w:r>
      <w:r>
        <w:rPr>
          <w:rFonts w:ascii="仿宋_GB2312" w:hAnsi="仿宋_GB2312" w:cs="仿宋_GB2312" w:eastAsia="仿宋_GB2312"/>
          <w:sz w:val="21"/>
        </w:rPr>
        <w:t>“技术、服务及其他要求”中“3.2.技术要求”，“3.3.服务要求 ”非带“★”实质性要求。</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sz w:val="21"/>
        </w:rPr>
        <w:t>详见第七章</w:t>
      </w:r>
      <w:r>
        <w:rPr>
          <w:rFonts w:ascii="仿宋_GB2312" w:hAnsi="仿宋_GB2312" w:cs="仿宋_GB2312" w:eastAsia="仿宋_GB2312"/>
          <w:sz w:val="21"/>
        </w:rPr>
        <w:t>“拟签订采购合同文本”。</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五、磋商文件将供应商的资格条件列为评分因素的；</w:t>
      </w:r>
    </w:p>
    <w:p>
      <w:pPr>
        <w:pStyle w:val="null5"/>
        <w:ind w:firstLine="480"/>
        <w:jc w:val="left"/>
      </w:pPr>
      <w:r>
        <w:rPr>
          <w:rFonts w:ascii="仿宋_GB2312" w:hAnsi="仿宋_GB2312" w:cs="仿宋_GB2312" w:eastAsia="仿宋_GB2312"/>
        </w:rPr>
        <w:t>六、磋商文件载明的成交原则不合法的；</w:t>
      </w:r>
    </w:p>
    <w:p>
      <w:pPr>
        <w:pStyle w:val="null5"/>
        <w:ind w:firstLine="480"/>
        <w:jc w:val="left"/>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供应商具有独立承担民事责任的能力</w:t>
            </w:r>
          </w:p>
        </w:tc>
        <w:tc>
          <w:tcPr>
            <w:tcW w:type="dxa" w:w="3322"/>
          </w:tcPr>
          <w:p>
            <w:pPr>
              <w:pStyle w:val="null5"/>
              <w:jc w:val="left"/>
            </w:pPr>
            <w:r>
              <w:rPr>
                <w:rFonts w:ascii="仿宋_GB2312" w:hAnsi="仿宋_GB2312" w:cs="仿宋_GB2312" w:eastAsia="仿宋_GB2312"/>
              </w:rPr>
              <w:t>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供应商具有良好的商业信誉和健全的财务会计制度</w:t>
            </w:r>
          </w:p>
        </w:tc>
        <w:tc>
          <w:tcPr>
            <w:tcW w:type="dxa" w:w="3322"/>
          </w:tcPr>
          <w:p>
            <w:pPr>
              <w:pStyle w:val="null5"/>
              <w:jc w:val="left"/>
            </w:pPr>
            <w:r>
              <w:rPr>
                <w:rFonts w:ascii="仿宋_GB2312" w:hAnsi="仿宋_GB2312" w:cs="仿宋_GB2312" w:eastAsia="仿宋_GB2312"/>
              </w:rPr>
              <w:t>提供2025年度由有法定资格的中介机构出具的财务审计报告。供应商没有财务审计报告的，应当提供基本开户银行出具的资信证明，中小企业可提供财政部门认可的政府采购专业担保机构出具的投标担保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供应商具有履行合同所必需的设备和专业技术能力</w:t>
            </w:r>
          </w:p>
        </w:tc>
        <w:tc>
          <w:tcPr>
            <w:tcW w:type="dxa" w:w="3322"/>
          </w:tcPr>
          <w:p>
            <w:pPr>
              <w:pStyle w:val="null5"/>
              <w:jc w:val="left"/>
            </w:pPr>
            <w:r>
              <w:rPr>
                <w:rFonts w:ascii="仿宋_GB2312" w:hAnsi="仿宋_GB2312" w:cs="仿宋_GB2312" w:eastAsia="仿宋_GB2312"/>
              </w:rPr>
              <w:t>履行本项目合同所必需的设备和专业技术能力的证明。（提供原件扫描件或复印件加盖公章）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供应商有依法缴纳税收和社会保障资金的良好记录</w:t>
            </w:r>
          </w:p>
        </w:tc>
        <w:tc>
          <w:tcPr>
            <w:tcW w:type="dxa" w:w="3322"/>
          </w:tcPr>
          <w:p>
            <w:pPr>
              <w:pStyle w:val="null5"/>
              <w:jc w:val="left"/>
            </w:pPr>
            <w:r>
              <w:rPr>
                <w:rFonts w:ascii="仿宋_GB2312" w:hAnsi="仿宋_GB2312" w:cs="仿宋_GB2312" w:eastAsia="仿宋_GB2312"/>
              </w:rPr>
              <w:t>（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供应商参加政府采购活动前三年内，在经营活动中没有重大违法记录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参加本次政府采购活动前近三年内在经营活动中没有重大违法记录的书面声明函。（提供原件扫描件或复印件加盖公章）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未被列入信用中国网站（www.creditchina.gov.cn）、中国政府采购网（www.ccgp.gov.cn）渠道信用记录失信被执行人、重大税收违法案件当事人名单、政府采购严重违法失信行为记录名单。本项由采购代理机构现场核查。</w:t>
            </w:r>
          </w:p>
        </w:tc>
        <w:tc>
          <w:tcPr>
            <w:tcW w:type="dxa" w:w="1661"/>
          </w:tcPr>
          <w:p>
            <w:pPr>
              <w:pStyle w:val="null5"/>
              <w:jc w:val="left"/>
            </w:pPr>
            <w:r>
              <w:rPr>
                <w:rFonts w:ascii="仿宋_GB2312" w:hAnsi="仿宋_GB2312" w:cs="仿宋_GB2312" w:eastAsia="仿宋_GB2312"/>
              </w:rPr>
              <w:t>资格证明文件</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是否按磋商文件规定要求签署、盖章</w:t>
            </w:r>
          </w:p>
        </w:tc>
        <w:tc>
          <w:tcPr>
            <w:tcW w:type="dxa" w:w="3322"/>
          </w:tcPr>
          <w:p>
            <w:pPr>
              <w:pStyle w:val="null5"/>
              <w:jc w:val="left"/>
            </w:pPr>
            <w:r>
              <w:rPr>
                <w:rFonts w:ascii="仿宋_GB2312" w:hAnsi="仿宋_GB2312" w:cs="仿宋_GB2312" w:eastAsia="仿宋_GB2312"/>
              </w:rPr>
              <w:t>按磋商文件规定要求签署、盖章</w:t>
            </w:r>
          </w:p>
        </w:tc>
        <w:tc>
          <w:tcPr>
            <w:tcW w:type="dxa" w:w="1661"/>
          </w:tcPr>
          <w:p>
            <w:pPr>
              <w:pStyle w:val="null5"/>
              <w:jc w:val="left"/>
            </w:pPr>
            <w:r>
              <w:rPr>
                <w:rFonts w:ascii="仿宋_GB2312" w:hAnsi="仿宋_GB2312" w:cs="仿宋_GB2312" w:eastAsia="仿宋_GB2312"/>
              </w:rPr>
              <w:t>关于符合本国产品标准的声明函、产品成本占比承诺函、技术偏离表、资格证明文件、投标（响应）报价明细表、开标（报价）一览表、节能、环境产品、封面、不参与串通投标承诺书、法定代表人身份证明、法定代表人授权委托书</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带“★”号部分任意一款是否满足要求</w:t>
            </w:r>
          </w:p>
        </w:tc>
        <w:tc>
          <w:tcPr>
            <w:tcW w:type="dxa" w:w="3322"/>
          </w:tcPr>
          <w:p>
            <w:pPr>
              <w:pStyle w:val="null5"/>
              <w:jc w:val="left"/>
            </w:pPr>
            <w:r>
              <w:rPr>
                <w:rFonts w:ascii="仿宋_GB2312" w:hAnsi="仿宋_GB2312" w:cs="仿宋_GB2312" w:eastAsia="仿宋_GB2312"/>
              </w:rPr>
              <w:t>带“★”号部分任意一款满足要求</w:t>
            </w:r>
          </w:p>
        </w:tc>
        <w:tc>
          <w:tcPr>
            <w:tcW w:type="dxa" w:w="1661"/>
          </w:tcPr>
          <w:p>
            <w:pPr>
              <w:pStyle w:val="null5"/>
              <w:jc w:val="left"/>
            </w:pPr>
            <w:r>
              <w:rPr>
                <w:rFonts w:ascii="仿宋_GB2312" w:hAnsi="仿宋_GB2312" w:cs="仿宋_GB2312" w:eastAsia="仿宋_GB2312"/>
              </w:rPr>
              <w:t>技术偏离表、商务偏离表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报价有效期是否满足磋商文件要求</w:t>
            </w:r>
          </w:p>
        </w:tc>
        <w:tc>
          <w:tcPr>
            <w:tcW w:type="dxa" w:w="3322"/>
          </w:tcPr>
          <w:p>
            <w:pPr>
              <w:pStyle w:val="null5"/>
              <w:jc w:val="left"/>
            </w:pPr>
            <w:r>
              <w:rPr>
                <w:rFonts w:ascii="仿宋_GB2312" w:hAnsi="仿宋_GB2312" w:cs="仿宋_GB2312" w:eastAsia="仿宋_GB2312"/>
              </w:rPr>
              <w:t>报价有效期满足磋商文件要求</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报价是否超过磋商文件中规定的预算金额或者最高限价的</w:t>
            </w:r>
          </w:p>
        </w:tc>
        <w:tc>
          <w:tcPr>
            <w:tcW w:type="dxa" w:w="3322"/>
          </w:tcPr>
          <w:p>
            <w:pPr>
              <w:pStyle w:val="null5"/>
              <w:jc w:val="left"/>
            </w:pPr>
            <w:r>
              <w:rPr>
                <w:rFonts w:ascii="仿宋_GB2312" w:hAnsi="仿宋_GB2312" w:cs="仿宋_GB2312" w:eastAsia="仿宋_GB2312"/>
              </w:rPr>
              <w:t>报价未超过磋商文件中规定的预算金额或者最高限价的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响应函、不参与串通投标承诺书、法定代表人身份证明、法定代表人授权委托书（委托代理人的须提供）、投标（响应）报价明细表、开标（报价）一览表、商务偏离表、技术偏离表、产品均为原厂正品承诺函</w:t>
            </w:r>
          </w:p>
        </w:tc>
        <w:tc>
          <w:tcPr>
            <w:tcW w:type="dxa" w:w="1661"/>
          </w:tcPr>
          <w:p>
            <w:pPr>
              <w:pStyle w:val="null5"/>
              <w:jc w:val="left"/>
            </w:pPr>
            <w:r>
              <w:rPr>
                <w:rFonts w:ascii="仿宋_GB2312" w:hAnsi="仿宋_GB2312" w:cs="仿宋_GB2312" w:eastAsia="仿宋_GB2312"/>
              </w:rPr>
              <w:t>技术偏离表、投标（响应）报价明细表、开标（报价）一览表、商务偏离表、产品均为原厂正品承诺函、响应函、不参与串通投标承诺书、法定代表人身份证明、法定代表人授权委托书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是否属于串通投标，或者依法被视为串通投标</w:t>
            </w:r>
          </w:p>
        </w:tc>
        <w:tc>
          <w:tcPr>
            <w:tcW w:type="dxa" w:w="3322"/>
          </w:tcPr>
          <w:p>
            <w:pPr>
              <w:pStyle w:val="null5"/>
              <w:jc w:val="left"/>
            </w:pPr>
            <w:r>
              <w:rPr>
                <w:rFonts w:ascii="仿宋_GB2312" w:hAnsi="仿宋_GB2312" w:cs="仿宋_GB2312" w:eastAsia="仿宋_GB2312"/>
              </w:rPr>
              <w:t>不属于串通投标，或者依法被视为串通投标</w:t>
            </w:r>
          </w:p>
        </w:tc>
        <w:tc>
          <w:tcPr>
            <w:tcW w:type="dxa" w:w="1661"/>
          </w:tcPr>
          <w:p>
            <w:pPr>
              <w:pStyle w:val="null5"/>
              <w:jc w:val="left"/>
            </w:pPr>
            <w:r>
              <w:rPr>
                <w:rFonts w:ascii="仿宋_GB2312" w:hAnsi="仿宋_GB2312" w:cs="仿宋_GB2312" w:eastAsia="仿宋_GB2312"/>
              </w:rPr>
              <w:t>不参与串通投标承诺书</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政府采购异常低价审查</w:t>
            </w:r>
          </w:p>
        </w:tc>
        <w:tc>
          <w:tcPr>
            <w:tcW w:type="dxa" w:w="3322"/>
          </w:tcPr>
          <w:p>
            <w:pPr>
              <w:pStyle w:val="null5"/>
              <w:jc w:val="left"/>
            </w:pPr>
            <w:r>
              <w:rPr>
                <w:rFonts w:ascii="仿宋_GB2312" w:hAnsi="仿宋_GB2312" w:cs="仿宋_GB2312" w:eastAsia="仿宋_GB2312"/>
              </w:rPr>
              <w:t>启动异常低价投标审查后，供应商不能提供书面说明、证明材料，或者提供的书面说明、证明材料不能证明其报价合理性的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响应文件是否含有采购人不能接受的附加条件的</w:t>
            </w:r>
          </w:p>
        </w:tc>
        <w:tc>
          <w:tcPr>
            <w:tcW w:type="dxa" w:w="3322"/>
          </w:tcPr>
          <w:p>
            <w:pPr>
              <w:pStyle w:val="null5"/>
              <w:jc w:val="left"/>
            </w:pPr>
            <w:r>
              <w:rPr>
                <w:rFonts w:ascii="仿宋_GB2312" w:hAnsi="仿宋_GB2312" w:cs="仿宋_GB2312" w:eastAsia="仿宋_GB2312"/>
              </w:rPr>
              <w:t>响应文件不含有采购人不能接受的附加条件的</w:t>
            </w:r>
          </w:p>
        </w:tc>
        <w:tc>
          <w:tcPr>
            <w:tcW w:type="dxa" w:w="1661"/>
          </w:tcPr>
          <w:p>
            <w:pPr>
              <w:pStyle w:val="null5"/>
              <w:jc w:val="left"/>
            </w:pPr>
            <w:r>
              <w:rPr>
                <w:rFonts w:ascii="仿宋_GB2312" w:hAnsi="仿宋_GB2312" w:cs="仿宋_GB2312" w:eastAsia="仿宋_GB2312"/>
              </w:rPr>
              <w:t>货物清单（包括产品彩页等）、供应商认为需要提交的其他文件、封面、企业基本概况</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符合采购⽂件及法律、法规规定的其他情形</w:t>
            </w:r>
          </w:p>
        </w:tc>
        <w:tc>
          <w:tcPr>
            <w:tcW w:type="dxa" w:w="3322"/>
          </w:tcPr>
          <w:p>
            <w:pPr>
              <w:pStyle w:val="null5"/>
              <w:jc w:val="left"/>
            </w:pPr>
            <w:r>
              <w:rPr>
                <w:rFonts w:ascii="仿宋_GB2312" w:hAnsi="仿宋_GB2312" w:cs="仿宋_GB2312" w:eastAsia="仿宋_GB2312"/>
              </w:rPr>
              <w:t>符合采购⽂件及法律、法规规定的其他情形</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是否按照磋商文件规定报价、是否存在拒绝报价、多个报价、选择性报价、附有条件的报价或者拒绝修正报价的</w:t>
            </w:r>
          </w:p>
        </w:tc>
        <w:tc>
          <w:tcPr>
            <w:tcW w:type="dxa" w:w="3322"/>
          </w:tcPr>
          <w:p>
            <w:pPr>
              <w:pStyle w:val="null5"/>
              <w:jc w:val="left"/>
            </w:pPr>
            <w:r>
              <w:rPr>
                <w:rFonts w:ascii="仿宋_GB2312" w:hAnsi="仿宋_GB2312" w:cs="仿宋_GB2312" w:eastAsia="仿宋_GB2312"/>
              </w:rPr>
              <w:t>按照磋商文件规定报价、不存在拒绝报价、多个报价、选择性报价、附有条件的报价或者拒绝修正报价的</w:t>
            </w:r>
          </w:p>
        </w:tc>
        <w:tc>
          <w:tcPr>
            <w:tcW w:type="dxa" w:w="1661"/>
          </w:tcPr>
          <w:p>
            <w:pPr>
              <w:pStyle w:val="null5"/>
              <w:jc w:val="left"/>
            </w:pPr>
            <w:r>
              <w:rPr>
                <w:rFonts w:ascii="仿宋_GB2312" w:hAnsi="仿宋_GB2312" w:cs="仿宋_GB2312" w:eastAsia="仿宋_GB2312"/>
              </w:rPr>
              <w:t>投标（响应）报价明细表、开标（报价）一览表</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5.3.8.比较与评价</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left"/>
      </w:pPr>
      <w:r>
        <w:rPr>
          <w:rFonts w:ascii="仿宋_GB2312" w:hAnsi="仿宋_GB2312" w:cs="仿宋_GB2312" w:eastAsia="仿宋_GB2312"/>
        </w:rPr>
        <w:t>5.3.9.磋商小组复核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5.3.10.代理机构现场复核评审结果</w:t>
      </w:r>
    </w:p>
    <w:p>
      <w:pPr>
        <w:pStyle w:val="null5"/>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（一）资格审查认定错误的；</w:t>
      </w:r>
    </w:p>
    <w:p>
      <w:pPr>
        <w:pStyle w:val="null5"/>
        <w:ind w:firstLine="480"/>
        <w:jc w:val="left"/>
      </w:pPr>
      <w:r>
        <w:rPr>
          <w:rFonts w:ascii="仿宋_GB2312" w:hAnsi="仿宋_GB2312" w:cs="仿宋_GB2312" w:eastAsia="仿宋_GB2312"/>
        </w:rPr>
        <w:t>（二）分值汇总计算错误的；</w:t>
      </w:r>
    </w:p>
    <w:p>
      <w:pPr>
        <w:pStyle w:val="null5"/>
        <w:ind w:firstLine="480"/>
        <w:jc w:val="left"/>
      </w:pPr>
      <w:r>
        <w:rPr>
          <w:rFonts w:ascii="仿宋_GB2312" w:hAnsi="仿宋_GB2312" w:cs="仿宋_GB2312" w:eastAsia="仿宋_GB2312"/>
        </w:rPr>
        <w:t>（三）分项评分超出评分标准范围的；</w:t>
      </w:r>
    </w:p>
    <w:p>
      <w:pPr>
        <w:pStyle w:val="null5"/>
        <w:ind w:firstLine="480"/>
        <w:jc w:val="left"/>
      </w:pPr>
      <w:r>
        <w:rPr>
          <w:rFonts w:ascii="仿宋_GB2312" w:hAnsi="仿宋_GB2312" w:cs="仿宋_GB2312" w:eastAsia="仿宋_GB2312"/>
        </w:rPr>
        <w:t>（四）客观评分不一致的。</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5.3.12.出具磋商报告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5.3.13.评审争议处理规则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技术部分50.00分</w:t>
            </w:r>
          </w:p>
          <w:p>
            <w:pPr>
              <w:pStyle w:val="null5"/>
            </w:pPr>
            <w:r>
              <w:rPr>
                <w:rFonts w:ascii="仿宋_GB2312" w:hAnsi="仿宋_GB2312" w:cs="仿宋_GB2312" w:eastAsia="仿宋_GB2312"/>
              </w:rPr>
              <w:t>商务部分10.00分</w:t>
            </w:r>
          </w:p>
          <w:p>
            <w:pPr>
              <w:pStyle w:val="null5"/>
            </w:pPr>
            <w:r>
              <w:rPr>
                <w:rFonts w:ascii="仿宋_GB2312" w:hAnsi="仿宋_GB2312" w:cs="仿宋_GB2312" w:eastAsia="仿宋_GB2312"/>
              </w:rPr>
              <w:t>报价得分40.00分</w:t>
            </w:r>
          </w:p>
          <w:p>
            <w:pPr>
              <w:pStyle w:val="null5"/>
            </w:pPr>
            <w:r>
              <w:rPr>
                <w:rFonts w:ascii="仿宋_GB2312" w:hAnsi="仿宋_GB2312" w:cs="仿宋_GB2312" w:eastAsia="仿宋_GB2312"/>
              </w:rPr>
              <w:t>附加分9.00分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产品技术性能及参数</w:t>
            </w:r>
          </w:p>
        </w:tc>
        <w:tc>
          <w:tcPr>
            <w:tcW w:type="dxa" w:w="2575"/>
          </w:tcPr>
          <w:p>
            <w:pPr>
              <w:pStyle w:val="null5"/>
            </w:pPr>
            <w:r>
              <w:rPr>
                <w:rFonts w:ascii="仿宋_GB2312" w:hAnsi="仿宋_GB2312" w:cs="仿宋_GB2312" w:eastAsia="仿宋_GB2312"/>
              </w:rPr>
              <w:t>技术指标响应：根据供应商所报产品的技术标准与参数配置对磋商要求的响应程度以及技术指标的偏离情况进行评审，所报产品的所有参数配置与技术指标无偏离或正偏离得基准分23分；非实质性技术参数中，重要技术参数（带▲号项）每有一项有负偏离的情况，在评审基准分的基础上减1分；其他技术参数（不带▲号项），每有一项有负偏离的情况，在评审基准分的基础上减0.3分，减至0分为止；无此项内容不得分。 注：①技术参数具体偏离情况将以技术偏离表为准，若供应商未填偏离表，或未明确标注偏离情况（无偏离、正偏离、负偏离）的，视为负偏离。 ②具体偏离项须在偏离表中逐条列明，须标明在技术说明中对应页码并以醒目方式标注。 ③带★、▲号项提供相应功能证明材料（包括但不限于测试报告、官网和功能截图等）。 ④技术参数扣分项为技术参数与性能指标中的每个最末级子项。</w:t>
            </w:r>
          </w:p>
        </w:tc>
        <w:tc>
          <w:tcPr>
            <w:tcW w:type="dxa" w:w="831"/>
          </w:tcPr>
          <w:p>
            <w:pPr>
              <w:pStyle w:val="null5"/>
              <w:jc w:val="center"/>
            </w:pPr>
            <w:r>
              <w:rPr>
                <w:rFonts w:ascii="仿宋_GB2312" w:hAnsi="仿宋_GB2312" w:cs="仿宋_GB2312" w:eastAsia="仿宋_GB2312"/>
              </w:rPr>
              <w:t>23.0000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技术偏离表</w:t>
            </w:r>
          </w:p>
        </w:tc>
      </w:tr>
      <w:tr>
        <w:tc>
          <w:tcPr>
            <w:tcW w:type="dxa" w:w="831"/>
            <w:vMerge/>
          </w:tcPr>
          <w:p/>
        </w:tc>
        <w:tc>
          <w:tcPr>
            <w:tcW w:type="dxa" w:w="1661"/>
          </w:tcPr>
          <w:p>
            <w:pPr>
              <w:pStyle w:val="null5"/>
            </w:pPr>
            <w:r>
              <w:rPr>
                <w:rFonts w:ascii="仿宋_GB2312" w:hAnsi="仿宋_GB2312" w:cs="仿宋_GB2312" w:eastAsia="仿宋_GB2312"/>
              </w:rPr>
              <w:t>产品供货方案</w:t>
            </w:r>
          </w:p>
        </w:tc>
        <w:tc>
          <w:tcPr>
            <w:tcW w:type="dxa" w:w="2575"/>
          </w:tcPr>
          <w:p>
            <w:pPr>
              <w:pStyle w:val="null5"/>
            </w:pPr>
            <w:r>
              <w:rPr>
                <w:rFonts w:ascii="仿宋_GB2312" w:hAnsi="仿宋_GB2312" w:cs="仿宋_GB2312" w:eastAsia="仿宋_GB2312"/>
              </w:rPr>
              <w:t>磋商小组成员根据方案响应情况进行综合评审，酌情打分。存在瑕疵或不足的以0.5分为单位进行扣减，扣完为止，该项满分5分；无此项内容不得分。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产品供货方案</w:t>
            </w:r>
          </w:p>
        </w:tc>
      </w:tr>
      <w:tr>
        <w:tc>
          <w:tcPr>
            <w:tcW w:type="dxa" w:w="831"/>
            <w:vMerge/>
          </w:tcPr>
          <w:p/>
        </w:tc>
        <w:tc>
          <w:tcPr>
            <w:tcW w:type="dxa" w:w="1661"/>
          </w:tcPr>
          <w:p>
            <w:pPr>
              <w:pStyle w:val="null5"/>
            </w:pPr>
            <w:r>
              <w:rPr>
                <w:rFonts w:ascii="仿宋_GB2312" w:hAnsi="仿宋_GB2312" w:cs="仿宋_GB2312" w:eastAsia="仿宋_GB2312"/>
              </w:rPr>
              <w:t>安装调试方案</w:t>
            </w:r>
          </w:p>
        </w:tc>
        <w:tc>
          <w:tcPr>
            <w:tcW w:type="dxa" w:w="2575"/>
          </w:tcPr>
          <w:p>
            <w:pPr>
              <w:pStyle w:val="null5"/>
            </w:pPr>
            <w:r>
              <w:rPr>
                <w:rFonts w:ascii="仿宋_GB2312" w:hAnsi="仿宋_GB2312" w:cs="仿宋_GB2312" w:eastAsia="仿宋_GB2312"/>
              </w:rPr>
              <w:t>磋商小组成员根据方案响应情况进行综合评审，酌情打分。存在瑕疵或不足的以0.5分为单位进行扣减，扣完为止，该项满分5分；无此项内容不得分。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安装调试方案</w:t>
            </w:r>
          </w:p>
        </w:tc>
      </w:tr>
      <w:tr>
        <w:tc>
          <w:tcPr>
            <w:tcW w:type="dxa" w:w="831"/>
            <w:vMerge/>
          </w:tcPr>
          <w:p/>
        </w:tc>
        <w:tc>
          <w:tcPr>
            <w:tcW w:type="dxa" w:w="1661"/>
          </w:tcPr>
          <w:p>
            <w:pPr>
              <w:pStyle w:val="null5"/>
            </w:pPr>
            <w:r>
              <w:rPr>
                <w:rFonts w:ascii="仿宋_GB2312" w:hAnsi="仿宋_GB2312" w:cs="仿宋_GB2312" w:eastAsia="仿宋_GB2312"/>
              </w:rPr>
              <w:t>质量管理措施</w:t>
            </w:r>
          </w:p>
        </w:tc>
        <w:tc>
          <w:tcPr>
            <w:tcW w:type="dxa" w:w="2575"/>
          </w:tcPr>
          <w:p>
            <w:pPr>
              <w:pStyle w:val="null5"/>
            </w:pPr>
            <w:r>
              <w:rPr>
                <w:rFonts w:ascii="仿宋_GB2312" w:hAnsi="仿宋_GB2312" w:cs="仿宋_GB2312" w:eastAsia="仿宋_GB2312"/>
              </w:rPr>
              <w:t>磋商小组成员根据方案响应情况进行综合评审，酌情打分，本项满分5分。存在瑕疵或不足的以0.5分为单位进行扣减，扣完为止；无此项内容不得分。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质量管理措施</w:t>
            </w:r>
          </w:p>
        </w:tc>
      </w:tr>
      <w:tr>
        <w:tc>
          <w:tcPr>
            <w:tcW w:type="dxa" w:w="831"/>
            <w:vMerge/>
          </w:tcPr>
          <w:p/>
        </w:tc>
        <w:tc>
          <w:tcPr>
            <w:tcW w:type="dxa" w:w="1661"/>
          </w:tcPr>
          <w:p>
            <w:pPr>
              <w:pStyle w:val="null5"/>
            </w:pPr>
            <w:r>
              <w:rPr>
                <w:rFonts w:ascii="仿宋_GB2312" w:hAnsi="仿宋_GB2312" w:cs="仿宋_GB2312" w:eastAsia="仿宋_GB2312"/>
              </w:rPr>
              <w:t>风险控制方案</w:t>
            </w:r>
          </w:p>
        </w:tc>
        <w:tc>
          <w:tcPr>
            <w:tcW w:type="dxa" w:w="2575"/>
          </w:tcPr>
          <w:p>
            <w:pPr>
              <w:pStyle w:val="null5"/>
            </w:pPr>
            <w:r>
              <w:rPr>
                <w:rFonts w:ascii="仿宋_GB2312" w:hAnsi="仿宋_GB2312" w:cs="仿宋_GB2312" w:eastAsia="仿宋_GB2312"/>
              </w:rPr>
              <w:t>磋商小组成员根据方案响应情况进行综合评审，酌情打分，本项满分4分。存在瑕疵或不足的以0.5分为单位进行扣减，扣完为止；无此项内容不得分。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风险控制方案</w:t>
            </w:r>
          </w:p>
        </w:tc>
      </w:tr>
      <w:tr>
        <w:tc>
          <w:tcPr>
            <w:tcW w:type="dxa" w:w="831"/>
            <w:vMerge/>
          </w:tcPr>
          <w:p/>
        </w:tc>
        <w:tc>
          <w:tcPr>
            <w:tcW w:type="dxa" w:w="1661"/>
          </w:tcPr>
          <w:p>
            <w:pPr>
              <w:pStyle w:val="null5"/>
            </w:pPr>
            <w:r>
              <w:rPr>
                <w:rFonts w:ascii="仿宋_GB2312" w:hAnsi="仿宋_GB2312" w:cs="仿宋_GB2312" w:eastAsia="仿宋_GB2312"/>
              </w:rPr>
              <w:t>应急处理方案</w:t>
            </w:r>
          </w:p>
        </w:tc>
        <w:tc>
          <w:tcPr>
            <w:tcW w:type="dxa" w:w="2575"/>
          </w:tcPr>
          <w:p>
            <w:pPr>
              <w:pStyle w:val="null5"/>
            </w:pPr>
            <w:r>
              <w:rPr>
                <w:rFonts w:ascii="仿宋_GB2312" w:hAnsi="仿宋_GB2312" w:cs="仿宋_GB2312" w:eastAsia="仿宋_GB2312"/>
              </w:rPr>
              <w:t>磋商小组成员根据方案响应情况进行综合评审，酌情打分，本项满分4分。存在瑕疵或不足的以0.5分为单位进行扣减，扣完为止；无此项内容不得分。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应急处理方案</w:t>
            </w:r>
          </w:p>
        </w:tc>
      </w:tr>
      <w:tr>
        <w:tc>
          <w:tcPr>
            <w:tcW w:type="dxa" w:w="831"/>
            <w:vMerge/>
          </w:tcPr>
          <w:p/>
        </w:tc>
        <w:tc>
          <w:tcPr>
            <w:tcW w:type="dxa" w:w="1661"/>
          </w:tcPr>
          <w:p>
            <w:pPr>
              <w:pStyle w:val="null5"/>
            </w:pPr>
            <w:r>
              <w:rPr>
                <w:rFonts w:ascii="仿宋_GB2312" w:hAnsi="仿宋_GB2312" w:cs="仿宋_GB2312" w:eastAsia="仿宋_GB2312"/>
              </w:rPr>
              <w:t>培训及技术支持方案</w:t>
            </w:r>
          </w:p>
        </w:tc>
        <w:tc>
          <w:tcPr>
            <w:tcW w:type="dxa" w:w="2575"/>
          </w:tcPr>
          <w:p>
            <w:pPr>
              <w:pStyle w:val="null5"/>
            </w:pPr>
            <w:r>
              <w:rPr>
                <w:rFonts w:ascii="仿宋_GB2312" w:hAnsi="仿宋_GB2312" w:cs="仿宋_GB2312" w:eastAsia="仿宋_GB2312"/>
              </w:rPr>
              <w:t>培训及技术支持方案：磋商小组成员根据方案响应情况进行综合评审，酌情打分，本项满分4分。存在瑕疵或不足的以0.5分为单位进行扣减，扣完为止；无此项内容不得分。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培训及技术支持方案</w:t>
            </w:r>
          </w:p>
        </w:tc>
      </w:tr>
      <w:tr>
        <w:tc>
          <w:tcPr>
            <w:tcW w:type="dxa" w:w="831"/>
            <w:vMerge w:val="restart"/>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故障支持与解决</w:t>
            </w:r>
          </w:p>
        </w:tc>
        <w:tc>
          <w:tcPr>
            <w:tcW w:type="dxa" w:w="2575"/>
          </w:tcPr>
          <w:p>
            <w:pPr>
              <w:pStyle w:val="null5"/>
            </w:pPr>
            <w:r>
              <w:rPr>
                <w:rFonts w:ascii="仿宋_GB2312" w:hAnsi="仿宋_GB2312" w:cs="仿宋_GB2312" w:eastAsia="仿宋_GB2312"/>
              </w:rPr>
              <w:t>供应商提供7×24小时（全天候）响应，接到故障通知后在12小时内到达并解决故障，得1分；供应商提供7×24小时（全天候）响应，接到故障通知后在18小时内到达并解决故障，得0.5分。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售后服务能力与承诺</w:t>
            </w:r>
          </w:p>
        </w:tc>
      </w:tr>
      <w:tr>
        <w:tc>
          <w:tcPr>
            <w:tcW w:type="dxa" w:w="831"/>
            <w:vMerge/>
          </w:tcPr>
          <w:p/>
        </w:tc>
        <w:tc>
          <w:tcPr>
            <w:tcW w:type="dxa" w:w="1661"/>
          </w:tcPr>
          <w:p>
            <w:pPr>
              <w:pStyle w:val="null5"/>
            </w:pPr>
            <w:r>
              <w:rPr>
                <w:rFonts w:ascii="仿宋_GB2312" w:hAnsi="仿宋_GB2312" w:cs="仿宋_GB2312" w:eastAsia="仿宋_GB2312"/>
              </w:rPr>
              <w:t>备品、备件</w:t>
            </w:r>
          </w:p>
        </w:tc>
        <w:tc>
          <w:tcPr>
            <w:tcW w:type="dxa" w:w="2575"/>
          </w:tcPr>
          <w:p>
            <w:pPr>
              <w:pStyle w:val="null5"/>
            </w:pPr>
            <w:r>
              <w:rPr>
                <w:rFonts w:ascii="仿宋_GB2312" w:hAnsi="仿宋_GB2312" w:cs="仿宋_GB2312" w:eastAsia="仿宋_GB2312"/>
              </w:rPr>
              <w:t>供应商为采购人专门建立备品、备件库，设备（软件）出现故障，需要返厂维修时，提供备品备件的，得1分；否则不得分。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售后服务能力与承诺</w:t>
            </w:r>
          </w:p>
        </w:tc>
      </w:tr>
      <w:tr>
        <w:tc>
          <w:tcPr>
            <w:tcW w:type="dxa" w:w="831"/>
            <w:vMerge/>
          </w:tcPr>
          <w:p/>
        </w:tc>
        <w:tc>
          <w:tcPr>
            <w:tcW w:type="dxa" w:w="1661"/>
          </w:tcPr>
          <w:p>
            <w:pPr>
              <w:pStyle w:val="null5"/>
            </w:pPr>
            <w:r>
              <w:rPr>
                <w:rFonts w:ascii="仿宋_GB2312" w:hAnsi="仿宋_GB2312" w:cs="仿宋_GB2312" w:eastAsia="仿宋_GB2312"/>
              </w:rPr>
              <w:t>免费保修期</w:t>
            </w:r>
          </w:p>
        </w:tc>
        <w:tc>
          <w:tcPr>
            <w:tcW w:type="dxa" w:w="2575"/>
          </w:tcPr>
          <w:p>
            <w:pPr>
              <w:pStyle w:val="null5"/>
            </w:pPr>
            <w:r>
              <w:rPr>
                <w:rFonts w:ascii="仿宋_GB2312" w:hAnsi="仿宋_GB2312" w:cs="仿宋_GB2312" w:eastAsia="仿宋_GB2312"/>
              </w:rPr>
              <w:t>供应商承诺所投产品（设备）整体系统质量免费保修（包括人工和部件）、上门服务年限均为4年（含）以上，得1分，否则不得分。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售后服务能力与承诺</w:t>
            </w:r>
          </w:p>
        </w:tc>
      </w:tr>
      <w:tr>
        <w:tc>
          <w:tcPr>
            <w:tcW w:type="dxa" w:w="831"/>
            <w:vMerge/>
          </w:tcPr>
          <w:p/>
        </w:tc>
        <w:tc>
          <w:tcPr>
            <w:tcW w:type="dxa" w:w="1661"/>
          </w:tcPr>
          <w:p>
            <w:pPr>
              <w:pStyle w:val="null5"/>
            </w:pPr>
            <w:r>
              <w:rPr>
                <w:rFonts w:ascii="仿宋_GB2312" w:hAnsi="仿宋_GB2312" w:cs="仿宋_GB2312" w:eastAsia="仿宋_GB2312"/>
              </w:rPr>
              <w:t>培训</w:t>
            </w:r>
          </w:p>
        </w:tc>
        <w:tc>
          <w:tcPr>
            <w:tcW w:type="dxa" w:w="2575"/>
          </w:tcPr>
          <w:p>
            <w:pPr>
              <w:pStyle w:val="null5"/>
            </w:pPr>
            <w:r>
              <w:rPr>
                <w:rFonts w:ascii="仿宋_GB2312" w:hAnsi="仿宋_GB2312" w:cs="仿宋_GB2312" w:eastAsia="仿宋_GB2312"/>
              </w:rPr>
              <w:t>供应商承诺在成交后，提供至少5人到采购人指定地点进行至少3次相关设备使用培训，得1分；供应商承诺在中标后，提供至少3人到采购人指定地点进行至少3次相关设备使用培训，得0.5分；本项最高得1分。不承诺设备使用培训的，不得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售后服务能力与承诺</w:t>
            </w:r>
          </w:p>
        </w:tc>
      </w:tr>
      <w:tr>
        <w:tc>
          <w:tcPr>
            <w:tcW w:type="dxa" w:w="831"/>
            <w:vMerge/>
          </w:tcPr>
          <w:p/>
        </w:tc>
        <w:tc>
          <w:tcPr>
            <w:tcW w:type="dxa" w:w="1661"/>
          </w:tcPr>
          <w:p>
            <w:pPr>
              <w:pStyle w:val="null5"/>
            </w:pPr>
            <w:r>
              <w:rPr>
                <w:rFonts w:ascii="仿宋_GB2312" w:hAnsi="仿宋_GB2312" w:cs="仿宋_GB2312" w:eastAsia="仿宋_GB2312"/>
              </w:rPr>
              <w:t>全生命周期成本</w:t>
            </w:r>
          </w:p>
        </w:tc>
        <w:tc>
          <w:tcPr>
            <w:tcW w:type="dxa" w:w="2575"/>
          </w:tcPr>
          <w:p>
            <w:pPr>
              <w:pStyle w:val="null5"/>
            </w:pPr>
            <w:r>
              <w:rPr>
                <w:rFonts w:ascii="仿宋_GB2312" w:hAnsi="仿宋_GB2312" w:cs="仿宋_GB2312" w:eastAsia="仿宋_GB2312"/>
              </w:rPr>
              <w:t>对成本构成、金额及计算依据等全生命周期成本进行评价，本项最高得3分。每有一处瑕疵或不完善扣0.5分，扣完为止，缺项不得分。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项目全生命周期成分分析</w:t>
            </w:r>
          </w:p>
        </w:tc>
      </w:tr>
      <w:tr>
        <w:tc>
          <w:tcPr>
            <w:tcW w:type="dxa" w:w="831"/>
            <w:vMerge/>
          </w:tcP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自2023年1月1日以来（以合同签订日期为准）承担或完成的类似业绩（类似业绩是指：至少包含核心产品且核心产品技术性能与本项目采购需求相同或类似），每提供一项得1分，本项最高得3分。[注：以上打分以单个采购合同为准，不重复累计；得分以该项最高得分为准，不重复加分] 类似业绩必须同时提供以下材料否则不得分：①采购合同扫描件②验收证明材料。 以上资料中所涉及的项目名称、采购内容、合同金额应相符，否则，磋商小组一律不予认可。提供资料不全或不符合磋商文件要求的，磋商一律不予认可。 供应商提供的以上业绩资料扫描件须按磋商文件编制要求全部编制在响应文件中并加盖供应商电子签章。评标时由磋商小组进行评审，否则一律不予认可。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业绩一览表及证明材料</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（1）CO2微观流动及相态变化实验室采购响应报价低于全部通过符合性审查供应商响应报价平均值50%的，即CO2微观流动及相态变化实验室采购响应报价&lt;全部通过符合性审查供应商响应报价平均值×50%。 （2）CO2微观流动及相态变化实验室采购响应报价低于通过符合性审查且报价次低供应商响应报价50%的，即CO2微观流动及相态变化实验室采购响应报价&lt;通过符合性审查且报价次低供应商响应报价×50%。 （3）CO2微观流动及相态变化实验室采购响应报价低于最高限价45%的，即CO2微观流动及相态变化实验室采购响应报价&lt;最高限价×45%。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磋商小组启动异常低价投标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 磋商小组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磋商小组应当将其作为无效投标处理。 书面说明及必要的证明材料应包含：①提供销售发票、合同或其他证明材料等以证明投标人的报价及执行情况；②成本构成。包含项目内容的本身成本、人工费、拟配备设备及材料费、税金等所有费用的说明。 投标人可根据以上规定提前备好说明和证明材料，以备及时提交磋商小组。</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40.0000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附加分</w:t>
            </w:r>
          </w:p>
        </w:tc>
        <w:tc>
          <w:tcPr>
            <w:tcW w:type="dxa" w:w="1661"/>
          </w:tcPr>
          <w:p>
            <w:pPr>
              <w:pStyle w:val="null5"/>
            </w:pPr>
            <w:r>
              <w:rPr>
                <w:rFonts w:ascii="仿宋_GB2312" w:hAnsi="仿宋_GB2312" w:cs="仿宋_GB2312" w:eastAsia="仿宋_GB2312"/>
              </w:rPr>
              <w:t>节能、环保评分项</w:t>
            </w:r>
          </w:p>
        </w:tc>
        <w:tc>
          <w:tcPr>
            <w:tcW w:type="dxa" w:w="2575"/>
          </w:tcPr>
          <w:p>
            <w:pPr>
              <w:pStyle w:val="null5"/>
            </w:pPr>
            <w:r>
              <w:rPr>
                <w:rFonts w:ascii="仿宋_GB2312" w:hAnsi="仿宋_GB2312" w:cs="仿宋_GB2312" w:eastAsia="仿宋_GB2312"/>
              </w:rPr>
              <w:t>1.若响应的货物为品⽬清单内的节能或环境标志产品（不含品⽬清单强制采购范围产品），在其报价分值基础上分别根据节能或环境标志产品占最后总报价相应⽐例加分，计算公式如下：报价部分加分=【（节能产品报价＋环境标志产品报价）/总报价】×价格评审总分值40×5%。 2.若响应的货物为品⽬清单内的节能或环境标志产品（不含品⽬清单强制采购范围产品），在其技术分值基础上分别根据节能或环境标志产品占最后总报价相应⽐例加分，计算公式如下：技术部分加分=【（节能产品报价＋环境标志产品报价）/总报价】×技术评审总分值50×5%。</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节能、环境产品</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15.00%</w:t>
            </w:r>
          </w:p>
        </w:tc>
        <w:tc>
          <w:tcPr>
            <w:tcW w:type="dxa" w:w="1661"/>
          </w:tcPr>
          <w:p>
            <w:pPr>
              <w:pStyle w:val="null5"/>
              <w:jc w:val="left"/>
            </w:pPr>
            <w:r>
              <w:rPr>
                <w:rFonts w:ascii="仿宋_GB2312" w:hAnsi="仿宋_GB2312" w:cs="仿宋_GB2312" w:eastAsia="仿宋_GB2312"/>
              </w:rPr>
              <w:t>根据《政府采购促进中小企业发展管理办法》（财库〔2020〕46号）、《财政部司法部关于政府采购支持监狱企业发展有关问题的通知》（财库〔2014〕68号）和《财政部 民政部 中国残疾人联合会关于促进残疾人就业政府采购政策的通知》（财库〔2017〕141号）的规定，对满足价格扣除条件且在响应文件中提交了《中小企业声明函》《残疾人福利性单位声明函》或省级以上监狱管理局、戒毒管理局（含新疆生产建设兵团）出具的属于监狱企业的证明文件的供应商，其投标报价扣除15%后参与评审，否则投标报价得分计算时不予价格扣除。 监狱企业、残疾人福利性单位生产的产品视同小型、微型企业产品。对于同时属于小微企业、监狱企业或残疾人福利性单位的，不重复进行报价扣除。</w:t>
            </w:r>
          </w:p>
        </w:tc>
        <w:tc>
          <w:tcPr>
            <w:tcW w:type="dxa" w:w="1910"/>
          </w:tcPr>
          <w:p>
            <w:pPr>
              <w:pStyle w:val="null5"/>
              <w:jc w:val="left"/>
            </w:pPr>
            <w:r>
              <w:rPr>
                <w:rFonts w:ascii="仿宋_GB2312" w:hAnsi="仿宋_GB2312" w:cs="仿宋_GB2312" w:eastAsia="仿宋_GB2312"/>
              </w:rPr>
              <w:t>中小企业声明函、监狱企业证明函、残疾人福利性单位声明函</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根据《国务院办公厅关于在政府采购中实施本国产品标准及相关政策的通知》（国办发〔2025〕34号）的规定： （1）当采购项目或者采购包中为单一产品时：投标人对其提供的产品出具符合要求的《关于符合本国产品标准的声明函》（格式详见附件）或财政部会同有关部门规定的有关证明文件的，该产品视为本国产品，对本国产品的报价给予20%的价格扣除，用扣除后的价格参与评审。 （2）当采购项目或者采购包中为多种产品时：投标人为该采购项目或者采购包提供的符合本国产品标准的产品成本之和占该投标人提供的全部产品成本之和的比例达到80%以上且投标人其提供的本国产品出具符合要求的《关于符合本国产品标准的声明函》（格式详见附件）或财政部会同有关部门规定的有关证明文件的，依法对该投标人提供的全部产品给予价格评审优惠，即对该投标人提供的全部产品的总报价给予20%的价格扣除，用扣除后的价格参与评审。 注：（1）相关价格评审扣除优惠，均应该在投标人原始报价基础上计算。（2）下列产品不适用本国产品标准：房屋和构筑物；文物、陈列品、图书、档案；特种动植物；农林牧渔初级产品；矿与矿物；电力、燃气、热力、水；食品、饮料及烟草原料；无形资产。（3）仅有本国产品参与竞争的政府采购项目，不执行价格扣除。</w:t>
            </w:r>
          </w:p>
        </w:tc>
        <w:tc>
          <w:tcPr>
            <w:tcW w:type="dxa" w:w="1910"/>
          </w:tcPr>
          <w:p>
            <w:pPr>
              <w:pStyle w:val="null5"/>
              <w:jc w:val="left"/>
            </w:pPr>
            <w:r>
              <w:rPr>
                <w:rFonts w:ascii="仿宋_GB2312" w:hAnsi="仿宋_GB2312" w:cs="仿宋_GB2312" w:eastAsia="仿宋_GB2312"/>
              </w:rPr>
              <w:t>关于符合本国产品标准的声明函、产品成本占比承诺函</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（1）CO2微观流动及相态变化实验室采购响应报价低于全部通过符合性审查供应商响应报价平均值50%的，即CO2微观流动及相态变化实验室采购响应报价&lt;全部通过符合性审查供应商响应报价平均值×50%。</w:t>
              <w:br/>
              <w:t>（2）CO2微观流动及相态变化实验室采购响应报价低于通过符合性审查且报价次低供应商响应报价50%的，即CO2微观流动及相态变化实验室采购响应报价&lt;通过符合性审查且报价次低供应商响应报价×50%。</w:t>
              <w:br/>
              <w:t>（3）CO2微观流动及相态变化实验室采购响应报价低于最高限价45%的，即CO2微观流动及相态变化实验室采购响应报价&lt;最高限价×45%。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磋商小组启动异常低价投标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 磋商小组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磋商小组应当将其作为无效投标处理。 书面说明及必要的证明材料应包含：①提供销售发票、合同或其他证明材料等以证明投标人的报价及执行情况；②成本构成。包含项目内容的本身成本、人工费、拟配备设备及材料费、税金等所有费用的说明。 投标人可根据以上规定提前备好说明和证明材料，以备及时提交磋商小组。</w:t>
            </w:r>
          </w:p>
        </w:tc>
      </w:tr>
    </w:tbl>
    <w:p>
      <w:pPr>
        <w:pStyle w:val="null5"/>
        <w:ind w:firstLine="480"/>
        <w:jc w:val="left"/>
      </w:pPr>
      <w:r>
        <w:rPr>
          <w:rFonts w:ascii="仿宋_GB2312" w:hAnsi="仿宋_GB2312" w:cs="仿宋_GB2312" w:eastAsia="仿宋_GB2312"/>
        </w:rPr>
        <w:t>本国产品</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自动成套控制系统</w:t>
            </w:r>
          </w:p>
        </w:tc>
        <w:tc>
          <w:tcPr>
            <w:tcW w:type="dxa" w:w="3115"/>
          </w:tcPr>
          <w:p>
            <w:pPr>
              <w:pStyle w:val="null5"/>
              <w:jc w:val="left"/>
            </w:pPr>
            <w:r>
              <w:rPr>
                <w:rFonts w:ascii="仿宋_GB2312" w:hAnsi="仿宋_GB2312" w:cs="仿宋_GB2312" w:eastAsia="仿宋_GB2312"/>
              </w:rPr>
              <w:t>高温高压二氧化碳PVT实验装置等设备</w:t>
            </w:r>
          </w:p>
        </w:tc>
        <w:tc>
          <w:tcPr>
            <w:tcW w:type="dxa" w:w="2076"/>
          </w:tcPr>
          <w:p>
            <w:pPr>
              <w:pStyle w:val="null5"/>
              <w:jc w:val="left"/>
            </w:pPr>
            <w:r>
              <w:rPr>
                <w:rFonts w:ascii="仿宋_GB2312" w:hAnsi="仿宋_GB2312" w:cs="仿宋_GB2312" w:eastAsia="仿宋_GB2312"/>
              </w:rPr>
              <w:t>高温高压二氧化碳PVT实验装置等设备</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 、因情况变化，不再符合规定的竞争性磋商采购方式适用情形的；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详见附件：资格证明文件</w:t>
      </w:r>
    </w:p>
    <w:p>
      <w:pPr>
        <w:pStyle w:val="null5"/>
        <w:ind w:firstLine="960"/>
        <w:jc w:val="left"/>
      </w:pPr>
      <w:r>
        <w:rPr>
          <w:rFonts w:ascii="仿宋_GB2312" w:hAnsi="仿宋_GB2312" w:cs="仿宋_GB2312" w:eastAsia="仿宋_GB2312"/>
        </w:rPr>
        <w:t>详见附件：响应函</w:t>
      </w:r>
    </w:p>
    <w:p>
      <w:pPr>
        <w:pStyle w:val="null5"/>
        <w:ind w:firstLine="960"/>
        <w:jc w:val="left"/>
      </w:pPr>
      <w:r>
        <w:rPr>
          <w:rFonts w:ascii="仿宋_GB2312" w:hAnsi="仿宋_GB2312" w:cs="仿宋_GB2312" w:eastAsia="仿宋_GB2312"/>
        </w:rPr>
        <w:t>详见附件：企业基本概况</w:t>
      </w:r>
    </w:p>
    <w:p>
      <w:pPr>
        <w:pStyle w:val="null5"/>
        <w:ind w:firstLine="960"/>
        <w:jc w:val="left"/>
      </w:pPr>
      <w:r>
        <w:rPr>
          <w:rFonts w:ascii="仿宋_GB2312" w:hAnsi="仿宋_GB2312" w:cs="仿宋_GB2312" w:eastAsia="仿宋_GB2312"/>
        </w:rPr>
        <w:t>详见附件：商务偏离表</w:t>
      </w:r>
    </w:p>
    <w:p>
      <w:pPr>
        <w:pStyle w:val="null5"/>
        <w:ind w:firstLine="960"/>
        <w:jc w:val="left"/>
      </w:pPr>
      <w:r>
        <w:rPr>
          <w:rFonts w:ascii="仿宋_GB2312" w:hAnsi="仿宋_GB2312" w:cs="仿宋_GB2312" w:eastAsia="仿宋_GB2312"/>
        </w:rPr>
        <w:t>详见附件：不参与串通投标承诺书</w:t>
      </w:r>
    </w:p>
    <w:p>
      <w:pPr>
        <w:pStyle w:val="null5"/>
        <w:ind w:firstLine="960"/>
        <w:jc w:val="left"/>
      </w:pPr>
      <w:r>
        <w:rPr>
          <w:rFonts w:ascii="仿宋_GB2312" w:hAnsi="仿宋_GB2312" w:cs="仿宋_GB2312" w:eastAsia="仿宋_GB2312"/>
        </w:rPr>
        <w:t>详见附件：法定代表人身份证明、法定代表人授权委托书</w:t>
      </w:r>
    </w:p>
    <w:p>
      <w:pPr>
        <w:pStyle w:val="null5"/>
        <w:ind w:firstLine="960"/>
        <w:jc w:val="left"/>
      </w:pPr>
      <w:r>
        <w:rPr>
          <w:rFonts w:ascii="仿宋_GB2312" w:hAnsi="仿宋_GB2312" w:cs="仿宋_GB2312" w:eastAsia="仿宋_GB2312"/>
        </w:rPr>
        <w:t>详见附件：项目全生命周期成分分析</w:t>
      </w:r>
    </w:p>
    <w:p>
      <w:pPr>
        <w:pStyle w:val="null5"/>
        <w:ind w:firstLine="960"/>
        <w:jc w:val="left"/>
      </w:pPr>
      <w:r>
        <w:rPr>
          <w:rFonts w:ascii="仿宋_GB2312" w:hAnsi="仿宋_GB2312" w:cs="仿宋_GB2312" w:eastAsia="仿宋_GB2312"/>
        </w:rPr>
        <w:t>详见附件：业绩一览表及证明材料</w:t>
      </w:r>
    </w:p>
    <w:p>
      <w:pPr>
        <w:pStyle w:val="null5"/>
        <w:ind w:firstLine="960"/>
        <w:jc w:val="left"/>
      </w:pPr>
      <w:r>
        <w:rPr>
          <w:rFonts w:ascii="仿宋_GB2312" w:hAnsi="仿宋_GB2312" w:cs="仿宋_GB2312" w:eastAsia="仿宋_GB2312"/>
        </w:rPr>
        <w:t>详见附件：售后服务能力与承诺</w:t>
      </w:r>
    </w:p>
    <w:p>
      <w:pPr>
        <w:pStyle w:val="null5"/>
        <w:ind w:firstLine="960"/>
        <w:jc w:val="left"/>
      </w:pPr>
      <w:r>
        <w:rPr>
          <w:rFonts w:ascii="仿宋_GB2312" w:hAnsi="仿宋_GB2312" w:cs="仿宋_GB2312" w:eastAsia="仿宋_GB2312"/>
        </w:rPr>
        <w:t>详见附件：中小企业声明函、监狱企业证明函、残疾人福利性单位声明函</w:t>
      </w:r>
    </w:p>
    <w:p>
      <w:pPr>
        <w:pStyle w:val="null5"/>
        <w:ind w:firstLine="960"/>
        <w:jc w:val="left"/>
      </w:pPr>
      <w:r>
        <w:rPr>
          <w:rFonts w:ascii="仿宋_GB2312" w:hAnsi="仿宋_GB2312" w:cs="仿宋_GB2312" w:eastAsia="仿宋_GB2312"/>
        </w:rPr>
        <w:t>详见附件：关于符合本国产品标准的声明函、产品成本占比承诺函</w:t>
      </w:r>
    </w:p>
    <w:p>
      <w:pPr>
        <w:pStyle w:val="null5"/>
        <w:ind w:firstLine="960"/>
        <w:jc w:val="left"/>
      </w:pPr>
      <w:r>
        <w:rPr>
          <w:rFonts w:ascii="仿宋_GB2312" w:hAnsi="仿宋_GB2312" w:cs="仿宋_GB2312" w:eastAsia="仿宋_GB2312"/>
        </w:rPr>
        <w:t>详见附件：节能、环境产品</w:t>
      </w:r>
    </w:p>
    <w:p>
      <w:pPr>
        <w:pStyle w:val="null5"/>
        <w:ind w:firstLine="960"/>
        <w:jc w:val="left"/>
      </w:pPr>
      <w:r>
        <w:rPr>
          <w:rFonts w:ascii="仿宋_GB2312" w:hAnsi="仿宋_GB2312" w:cs="仿宋_GB2312" w:eastAsia="仿宋_GB2312"/>
        </w:rPr>
        <w:t>详见附件：货物清单（包括产品彩页等）</w:t>
      </w:r>
    </w:p>
    <w:p>
      <w:pPr>
        <w:pStyle w:val="null5"/>
        <w:ind w:firstLine="960"/>
        <w:jc w:val="left"/>
      </w:pPr>
      <w:r>
        <w:rPr>
          <w:rFonts w:ascii="仿宋_GB2312" w:hAnsi="仿宋_GB2312" w:cs="仿宋_GB2312" w:eastAsia="仿宋_GB2312"/>
        </w:rPr>
        <w:t>详见附件：产品均为原厂正品承诺函</w:t>
      </w:r>
    </w:p>
    <w:p>
      <w:pPr>
        <w:pStyle w:val="null5"/>
        <w:ind w:firstLine="960"/>
        <w:jc w:val="left"/>
      </w:pPr>
      <w:r>
        <w:rPr>
          <w:rFonts w:ascii="仿宋_GB2312" w:hAnsi="仿宋_GB2312" w:cs="仿宋_GB2312" w:eastAsia="仿宋_GB2312"/>
        </w:rPr>
        <w:t>详见附件：供应商认为需要提交的其他文件</w:t>
      </w:r>
    </w:p>
    <w:p>
      <w:pPr>
        <w:pStyle w:val="null5"/>
        <w:ind w:firstLine="96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详见附件：产品供货方案</w:t>
      </w:r>
    </w:p>
    <w:p>
      <w:pPr>
        <w:pStyle w:val="null5"/>
        <w:ind w:firstLine="960"/>
        <w:jc w:val="left"/>
      </w:pPr>
      <w:r>
        <w:rPr>
          <w:rFonts w:ascii="仿宋_GB2312" w:hAnsi="仿宋_GB2312" w:cs="仿宋_GB2312" w:eastAsia="仿宋_GB2312"/>
        </w:rPr>
        <w:t>详见附件：安装调试方案</w:t>
      </w:r>
    </w:p>
    <w:p>
      <w:pPr>
        <w:pStyle w:val="null5"/>
        <w:ind w:firstLine="960"/>
        <w:jc w:val="left"/>
      </w:pPr>
      <w:r>
        <w:rPr>
          <w:rFonts w:ascii="仿宋_GB2312" w:hAnsi="仿宋_GB2312" w:cs="仿宋_GB2312" w:eastAsia="仿宋_GB2312"/>
        </w:rPr>
        <w:t>详见附件：质量管理措施</w:t>
      </w:r>
    </w:p>
    <w:p>
      <w:pPr>
        <w:pStyle w:val="null5"/>
        <w:ind w:firstLine="960"/>
        <w:jc w:val="left"/>
      </w:pPr>
      <w:r>
        <w:rPr>
          <w:rFonts w:ascii="仿宋_GB2312" w:hAnsi="仿宋_GB2312" w:cs="仿宋_GB2312" w:eastAsia="仿宋_GB2312"/>
        </w:rPr>
        <w:t>详见附件：风险控制方案</w:t>
      </w:r>
    </w:p>
    <w:p>
      <w:pPr>
        <w:pStyle w:val="null5"/>
        <w:ind w:firstLine="960"/>
        <w:jc w:val="left"/>
      </w:pPr>
      <w:r>
        <w:rPr>
          <w:rFonts w:ascii="仿宋_GB2312" w:hAnsi="仿宋_GB2312" w:cs="仿宋_GB2312" w:eastAsia="仿宋_GB2312"/>
        </w:rPr>
        <w:t>详见附件：应急处理方案</w:t>
      </w:r>
    </w:p>
    <w:p>
      <w:pPr>
        <w:pStyle w:val="null5"/>
        <w:ind w:firstLine="960"/>
        <w:jc w:val="left"/>
      </w:pPr>
      <w:r>
        <w:rPr>
          <w:rFonts w:ascii="仿宋_GB2312" w:hAnsi="仿宋_GB2312" w:cs="仿宋_GB2312" w:eastAsia="仿宋_GB2312"/>
        </w:rPr>
        <w:t>详见附件：培训及技术支持方案</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详见附件：政府采购履约验收书参考样本、山东省政府采购合同范本.docx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