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28254">
      <w:pPr>
        <w:pStyle w:val="5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项目全生命周期成分分析</w:t>
      </w:r>
    </w:p>
    <w:p w14:paraId="41124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  <w:t xml:space="preserve">项目名称： </w:t>
      </w:r>
    </w:p>
    <w:p w14:paraId="6A16C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  <w:t xml:space="preserve">项目编号： </w:t>
      </w:r>
    </w:p>
    <w:tbl>
      <w:tblPr>
        <w:tblStyle w:val="3"/>
        <w:tblW w:w="495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635"/>
        <w:gridCol w:w="2322"/>
        <w:gridCol w:w="940"/>
        <w:gridCol w:w="2907"/>
        <w:gridCol w:w="2639"/>
      </w:tblGrid>
      <w:tr w14:paraId="3AEC1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2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6937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  <w:t>序号</w:t>
            </w:r>
          </w:p>
        </w:tc>
        <w:tc>
          <w:tcPr>
            <w:tcW w:w="32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B509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b/>
                <w:bCs/>
                <w:color w:val="auto"/>
                <w:sz w:val="22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  <w:lang w:val="en-US" w:eastAsia="zh-CN"/>
              </w:rPr>
              <w:t>成本维度</w:t>
            </w:r>
          </w:p>
        </w:tc>
        <w:tc>
          <w:tcPr>
            <w:tcW w:w="11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37AD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  <w:t>具体内容</w:t>
            </w:r>
          </w:p>
        </w:tc>
        <w:tc>
          <w:tcPr>
            <w:tcW w:w="4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7529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  <w:lang w:val="en-US" w:eastAsia="zh-CN"/>
              </w:rPr>
              <w:t>金额</w:t>
            </w: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  <w:t>（元）</w:t>
            </w:r>
          </w:p>
        </w:tc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04DD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b/>
                <w:bCs/>
                <w:color w:val="auto"/>
                <w:sz w:val="22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  <w:t>计算依据说明</w:t>
            </w: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  <w:lang w:val="en-US" w:eastAsia="zh-CN"/>
              </w:rPr>
              <w:t>参考示例</w:t>
            </w: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3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61C7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b/>
                <w:bCs/>
                <w:color w:val="auto"/>
                <w:sz w:val="22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57C44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7591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321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2AFB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初始取得成本</w:t>
            </w:r>
          </w:p>
        </w:tc>
        <w:tc>
          <w:tcPr>
            <w:tcW w:w="11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AABF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主体价格</w:t>
            </w:r>
          </w:p>
        </w:tc>
        <w:tc>
          <w:tcPr>
            <w:tcW w:w="4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67D79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55EC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生产费用/购置费用</w:t>
            </w:r>
          </w:p>
        </w:tc>
        <w:tc>
          <w:tcPr>
            <w:tcW w:w="13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23A8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E533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1A76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E962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F817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运输费</w:t>
            </w:r>
          </w:p>
        </w:tc>
        <w:tc>
          <w:tcPr>
            <w:tcW w:w="4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60A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D8B6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运输费用</w:t>
            </w:r>
          </w:p>
        </w:tc>
        <w:tc>
          <w:tcPr>
            <w:tcW w:w="13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3050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22C2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F05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9F1D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D081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保险费</w:t>
            </w:r>
          </w:p>
        </w:tc>
        <w:tc>
          <w:tcPr>
            <w:tcW w:w="4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630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9473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保险费用</w:t>
            </w:r>
          </w:p>
        </w:tc>
        <w:tc>
          <w:tcPr>
            <w:tcW w:w="13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9D18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4C16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4B5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E381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DE991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安装调试费</w:t>
            </w:r>
          </w:p>
        </w:tc>
        <w:tc>
          <w:tcPr>
            <w:tcW w:w="4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33E7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E5C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安装调试费用</w:t>
            </w:r>
          </w:p>
        </w:tc>
        <w:tc>
          <w:tcPr>
            <w:tcW w:w="13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4593F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54EB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2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3BEF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32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E924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能源消耗成本</w:t>
            </w:r>
          </w:p>
        </w:tc>
        <w:tc>
          <w:tcPr>
            <w:tcW w:w="117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4FF5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全寿命周期内运行所需的电、水等费用</w:t>
            </w:r>
          </w:p>
        </w:tc>
        <w:tc>
          <w:tcPr>
            <w:tcW w:w="47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51B5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55E9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考虑不同能效等级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下的工作功耗</w:t>
            </w:r>
          </w:p>
        </w:tc>
        <w:tc>
          <w:tcPr>
            <w:tcW w:w="13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46CB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F5BA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2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64B5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321" w:type="pct"/>
            <w:vMerge w:val="restar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E6E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耗材及备件成本</w:t>
            </w:r>
          </w:p>
        </w:tc>
        <w:tc>
          <w:tcPr>
            <w:tcW w:w="117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88A7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高温高压CO2微观可视化实验装置-密封圈</w:t>
            </w:r>
          </w:p>
        </w:tc>
        <w:tc>
          <w:tcPr>
            <w:tcW w:w="4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2E45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0A5C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6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941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1.报价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应包含材料费、加工费、包装费、运输费、税金等全部费用，为运抵采购人指定地点的综合交货价。</w:t>
            </w:r>
          </w:p>
          <w:p w14:paraId="26BD3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left"/>
              <w:textAlignment w:val="auto"/>
              <w:rPr>
                <w:rFonts w:hint="default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此项需说明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品名、规格型号、材质、单价、更换周期及供应方式。</w:t>
            </w:r>
          </w:p>
        </w:tc>
      </w:tr>
      <w:tr w14:paraId="788D8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99F3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26D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E0E4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高温高压CO2微观可视化实验装置-热电偶</w:t>
            </w:r>
          </w:p>
        </w:tc>
        <w:tc>
          <w:tcPr>
            <w:tcW w:w="4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8F29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0281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6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1562E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1863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2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F402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FD7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C4FD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高温高压CO2微观可视化实验装置-芯片</w:t>
            </w:r>
          </w:p>
        </w:tc>
        <w:tc>
          <w:tcPr>
            <w:tcW w:w="4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F5DB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DA622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6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51D3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94D2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654B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A38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A403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高温高压CO2微观可视化实验装置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-阀门</w:t>
            </w:r>
          </w:p>
        </w:tc>
        <w:tc>
          <w:tcPr>
            <w:tcW w:w="4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45322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89EEE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6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AFB79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61AE1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305A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D42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619D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高温高压二氧化碳PVT实验装置-密封圈</w:t>
            </w:r>
          </w:p>
        </w:tc>
        <w:tc>
          <w:tcPr>
            <w:tcW w:w="4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6D37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08591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6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C591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0282E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B9F10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379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8B73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高温高压二氧化碳PVT实验装置-热电偶</w:t>
            </w:r>
          </w:p>
        </w:tc>
        <w:tc>
          <w:tcPr>
            <w:tcW w:w="4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3670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7676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6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6DDC2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42B25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73D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1BF6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E48B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高温高压二氧化碳PVT实验装置-可视窗</w:t>
            </w:r>
          </w:p>
        </w:tc>
        <w:tc>
          <w:tcPr>
            <w:tcW w:w="4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187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DD16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6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23CB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3B320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C2CE5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03B0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34594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高温高压二氧化碳PVT实验装置-冷光源</w:t>
            </w:r>
          </w:p>
        </w:tc>
        <w:tc>
          <w:tcPr>
            <w:tcW w:w="4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1D2B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6951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6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1DDD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742DF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F0C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8D40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EF15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高温高压二氧化碳PVT实验装置-阀门</w:t>
            </w:r>
            <w:bookmarkStart w:id="0" w:name="_GoBack"/>
            <w:bookmarkEnd w:id="0"/>
          </w:p>
        </w:tc>
        <w:tc>
          <w:tcPr>
            <w:tcW w:w="4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446B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238E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6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8214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38435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B1580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FCC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DDDAA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……</w:t>
            </w:r>
          </w:p>
        </w:tc>
        <w:tc>
          <w:tcPr>
            <w:tcW w:w="4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3979E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F361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36" w:type="pct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3267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6B2D3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restar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A75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321" w:type="pct"/>
            <w:vMerge w:val="restar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9870F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维护与维修成本</w:t>
            </w:r>
          </w:p>
        </w:tc>
        <w:tc>
          <w:tcPr>
            <w:tcW w:w="11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9015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维修工时费</w:t>
            </w:r>
          </w:p>
        </w:tc>
        <w:tc>
          <w:tcPr>
            <w:tcW w:w="4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8B5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47B1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1413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维保费用，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按人次或按工时计算的维修人工费用单价</w:t>
            </w:r>
          </w:p>
        </w:tc>
      </w:tr>
      <w:tr w14:paraId="5745E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20" w:type="pct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E24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9BC1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DC2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常用零部件更换价格</w:t>
            </w:r>
          </w:p>
        </w:tc>
        <w:tc>
          <w:tcPr>
            <w:tcW w:w="4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F4EE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8203F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8600B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各类易损零部件的更换单价（应与专用耗材报价一致）</w:t>
            </w:r>
          </w:p>
        </w:tc>
      </w:tr>
      <w:tr w14:paraId="4B1CB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AB31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BB69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BFC3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年度巡检服务费</w:t>
            </w:r>
          </w:p>
        </w:tc>
        <w:tc>
          <w:tcPr>
            <w:tcW w:w="4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BCEE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4B6A1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13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31A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单次巡检费用标准</w:t>
            </w:r>
          </w:p>
        </w:tc>
      </w:tr>
      <w:tr w14:paraId="0E905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6D8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2AE8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1BE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上门服务费</w:t>
            </w:r>
          </w:p>
        </w:tc>
        <w:tc>
          <w:tcPr>
            <w:tcW w:w="4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930A3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B73C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812D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单次上门服务的基本费用（含交通、差旅等）</w:t>
            </w:r>
          </w:p>
        </w:tc>
      </w:tr>
      <w:tr w14:paraId="40F4C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restar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3937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321" w:type="pct"/>
            <w:vMerge w:val="restar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CF4B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废弃处置成本</w:t>
            </w:r>
          </w:p>
        </w:tc>
        <w:tc>
          <w:tcPr>
            <w:tcW w:w="11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CE24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生命周期结束后的拆除费</w:t>
            </w:r>
          </w:p>
        </w:tc>
        <w:tc>
          <w:tcPr>
            <w:tcW w:w="4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CA65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8DC00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拆除费用</w:t>
            </w:r>
          </w:p>
        </w:tc>
        <w:tc>
          <w:tcPr>
            <w:tcW w:w="13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0A2E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F39A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2F39D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21" w:type="pct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BEE4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464D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回收处理费</w:t>
            </w:r>
          </w:p>
        </w:tc>
        <w:tc>
          <w:tcPr>
            <w:tcW w:w="4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A2F8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5934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其他回收处理费用</w:t>
            </w:r>
          </w:p>
        </w:tc>
        <w:tc>
          <w:tcPr>
            <w:tcW w:w="13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502A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D053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F5BFC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21" w:type="pct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8AD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BBEA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残值</w:t>
            </w:r>
          </w:p>
        </w:tc>
        <w:tc>
          <w:tcPr>
            <w:tcW w:w="4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9848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94CD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残值</w:t>
            </w:r>
          </w:p>
        </w:tc>
        <w:tc>
          <w:tcPr>
            <w:tcW w:w="13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3E3F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97BD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22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1A1B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4E71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···</w:t>
            </w:r>
          </w:p>
        </w:tc>
        <w:tc>
          <w:tcPr>
            <w:tcW w:w="11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0C56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···</w:t>
            </w:r>
          </w:p>
        </w:tc>
        <w:tc>
          <w:tcPr>
            <w:tcW w:w="4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5700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···</w:t>
            </w:r>
          </w:p>
        </w:tc>
        <w:tc>
          <w:tcPr>
            <w:tcW w:w="14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DAD4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···</w:t>
            </w:r>
          </w:p>
        </w:tc>
        <w:tc>
          <w:tcPr>
            <w:tcW w:w="13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6981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</w:tbl>
    <w:p w14:paraId="7C7758D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jc w:val="left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eastAsia="zh-CN"/>
        </w:rPr>
        <w:t>说明</w:t>
      </w: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eastAsia="zh-CN"/>
        </w:rPr>
        <w:t>：</w:t>
      </w:r>
    </w:p>
    <w:p w14:paraId="271309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全生命周期成本报价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频次（单位）由供应商自行考虑并在“计算依据说明”一栏中填写。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不计入投标总价，不纳入本次采购预算及最高限价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，仅作为评审因素及合同价格锁定依据。</w:t>
      </w:r>
    </w:p>
    <w:p w14:paraId="61CA208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应完整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填报本表，未报、漏报或依据不明视为瑕疵，按评审规则扣分；不适用项填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0/无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并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说明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14E29E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本表可根据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实际情况进行拓展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03769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9C6F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供应商承诺：</w:t>
      </w:r>
    </w:p>
    <w:p w14:paraId="57197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1.上述所有费用均为真实成本测算，计算依据真实、合法、有效；</w:t>
      </w:r>
    </w:p>
    <w:p w14:paraId="0353F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合同约定的服务期内，提供本表所列物资/服务的价格不高于本表报价，无正当理由不得上浮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 w14:paraId="00E5F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3.采购人按需提出服务需求时，我方保证按本表报价及时提供对应服务，无正当理由不得拒绝。</w:t>
      </w:r>
    </w:p>
    <w:p w14:paraId="35E646A2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2D3438B9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承诺人（供应商）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名称(公章)：</w:t>
      </w:r>
    </w:p>
    <w:p w14:paraId="138A0F55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法定代表人/负责人或其委托代理人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(签字或盖章)：</w:t>
      </w:r>
    </w:p>
    <w:p w14:paraId="0DF49C0B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__年____月____日</w:t>
      </w:r>
    </w:p>
    <w:p w14:paraId="2425EAD8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C48BA"/>
    <w:rsid w:val="033B4947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6A82305"/>
    <w:rsid w:val="07090140"/>
    <w:rsid w:val="07104F69"/>
    <w:rsid w:val="08F906FD"/>
    <w:rsid w:val="098166F4"/>
    <w:rsid w:val="0A550138"/>
    <w:rsid w:val="0AA7129C"/>
    <w:rsid w:val="0AD11E75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DA7069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581802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26D784A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40A7D83"/>
    <w:rsid w:val="798F7E81"/>
    <w:rsid w:val="7B1C36C1"/>
    <w:rsid w:val="7C5D5843"/>
    <w:rsid w:val="7D3C0797"/>
    <w:rsid w:val="7DBC2282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customStyle="1" w:styleId="5">
    <w:name w:val="*正文"/>
    <w:basedOn w:val="1"/>
    <w:qFormat/>
    <w:uiPriority w:val="0"/>
    <w:pPr>
      <w:ind w:firstLine="200" w:firstLineChars="200"/>
    </w:pPr>
    <w:rPr>
      <w:rFonts w:ascii="宋体" w:hAnsi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751</Words>
  <Characters>770</Characters>
  <Lines>0</Lines>
  <Paragraphs>0</Paragraphs>
  <TotalTime>1</TotalTime>
  <ScaleCrop>false</ScaleCrop>
  <LinksUpToDate>false</LinksUpToDate>
  <CharactersWithSpaces>774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Administrator</cp:lastModifiedBy>
  <dcterms:modified xsi:type="dcterms:W3CDTF">2026-08-17T03:25:42Z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