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山东石油化工学院山东省高校碳中和能源技术重点实验室2026年度设备采购项目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SDGP370000000202602005937</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山东正信招标有限责任公司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山东正信招标有限责任公司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山东石油化工学院山东省高校碳中和能源技术重点实验室2026年度设备采购项目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SDGP370000000202602005937</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山东石油化工学院山东省高校碳中和能源技术重点实验室2026年度设备采购项目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本项目为山东石油化工学院山东省高校碳中和能源技术重点实验室2026年度设备采购项，共分一个包，主要采购油品反应分析检测装置。</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具有良好的商业信誉和健全的财务会计制度：供应商须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3、有依法缴纳税收和社会保障资金的良好记录：1.依法缴纳税收和社会保险费的相关证明材料 （1）供应商依法缴纳近半年内任意一个月税收的凭据（或纳税申报）或依法缴纳税收和社会保障资金承诺函（格式详见附件）； （2）供应商依法缴纳近半年内任意一个月社会保险的凭据或依法缴纳税收和社会保障资金承诺函（格式详见附件）； （3）依法免税或不需要缴纳社会保险的供应商，应提供相应文件证明其依法免税或不需要缴纳社会保险。 注：1.在山东省境内注册的供应商参与本项目，且可通过“中国山东政府采购网”查询缴纳税收和社会保障资金信息的，可在响应文件中提供《依法缴纳税收和社会保障资金承诺函》。 供应商可登录“中国山东政府采购网”(www.ccgp-shandong.gov.cn)，在“开评标管理”栏目中查询本单位在山东省缴纳税收和社会保障资金的情况。 2.以下情形不适用提供《依法缴纳税收和社会保障资金承诺函》，应按照磋商文件要求提供相关证明材料。 1)供应商登录“中国山东政府采购网”查询缴纳税收和社会保障资金信息反馈无相关信息的。 2)依法免税或不需要缴纳社会保障资金的。 3)未在山东省内缴纳税收和社会保障资金的供应商。 4)其他不适用依法缴纳税收和社会保障资金承诺制的情形 （提供原件扫描件或复印件加盖公章）</w:t>
      </w:r>
    </w:p>
    <w:p>
      <w:pPr>
        <w:pStyle w:val="null5"/>
        <w:jc w:val="left"/>
      </w:pPr>
      <w:r>
        <w:rPr>
          <w:rFonts w:ascii="仿宋_GB2312" w:hAnsi="仿宋_GB2312" w:cs="仿宋_GB2312" w:eastAsia="仿宋_GB2312"/>
        </w:rPr>
        <w:t>4、参加政府采购活动前三年内，在经营活动中没有重大违法记录：提供参加政府采购活动前三年内在经营活动中没有重大违法记录的书面声明。格式按附件《无重大违法记录声明》（提供原件扫描件或复印件加盖公章）</w:t>
      </w:r>
    </w:p>
    <w:p>
      <w:pPr>
        <w:pStyle w:val="null5"/>
        <w:jc w:val="left"/>
      </w:pPr>
      <w:r>
        <w:rPr>
          <w:rFonts w:ascii="仿宋_GB2312" w:hAnsi="仿宋_GB2312" w:cs="仿宋_GB2312" w:eastAsia="仿宋_GB2312"/>
        </w:rPr>
        <w:t>5、具有履行合同所必需的设备和专业技术能力：提供具备履行合同所必需的设备和专业技术能力的证明材料，是指提供《履行合同的设备技术能力证明表》（格式见附件）（提供原件扫描件或复印件加盖公章）</w:t>
      </w:r>
    </w:p>
    <w:p>
      <w:pPr>
        <w:pStyle w:val="null5"/>
        <w:jc w:val="left"/>
      </w:pPr>
      <w:r>
        <w:rPr>
          <w:rFonts w:ascii="仿宋_GB2312" w:hAnsi="仿宋_GB2312" w:cs="仿宋_GB2312" w:eastAsia="仿宋_GB2312"/>
        </w:rPr>
        <w:t>6、投标人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属于专门面向小微企业采购，预留比例为100%。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山东正信招标有限责任公司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山东省聊城市开发区东昌路159号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252000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荣金辉/梁杰/黄松/史鲁涛</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 xml:space="preserve"> 16606356121/16606356330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采购包1：1,000,000.00元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代理服务费收费标准：自成交结果公告发布之日起5个工作日内由成交供应商参照国家发展计划委员会计价格[2002]1980号文和国家发改委发改办价格[2003]857号文货物类的规定下浮40%向采购代理机构交纳代理服务费。 因未交纳代理费而导致的一切后果由中标人自行承担，代理费出现争议，由本次代理机构住所地法院管辖。 开户名称：山东正信招标有限责任公司 开户行：中国银行股份有限公司聊城开发区支行 账号：211752102065 行号：104471000154</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山东正信招标有限责任公司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山东正信招标有限责任公司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乙方完成全部工作</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货物送到指定地点后，按照合同条款和项目需求，由采购人进行验收，参照国家相关标准、要求执行</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合同为采购人进行履约验收的主要依据。验收严格按照磋商文件、响应文件和采购合同进行，保证采购项目与相关文件内容的一致。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合同为采购人进行履约验收的主要依据。验收严格按照磋商文件、响应文件和采购合同进行，保证采购项目与相关文件内容的一致。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货物送到指定地点后，按照合同条款和项目需求，由采购人进行验收，参照国家相关标准、要求执行。</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山东正信招标有限责任公司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山东正信招标有限责任公司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联系人：梁杰</w:t>
      </w:r>
    </w:p>
    <w:p>
      <w:pPr>
        <w:pStyle w:val="null5"/>
        <w:jc w:val="left"/>
      </w:pPr>
      <w:r>
        <w:rPr>
          <w:rFonts w:ascii="仿宋_GB2312" w:hAnsi="仿宋_GB2312" w:cs="仿宋_GB2312" w:eastAsia="仿宋_GB2312"/>
        </w:rPr>
        <w:t>联系电话：16606356330</w:t>
      </w:r>
    </w:p>
    <w:p>
      <w:pPr>
        <w:pStyle w:val="null5"/>
        <w:jc w:val="left"/>
      </w:pPr>
      <w:r>
        <w:rPr>
          <w:rFonts w:ascii="仿宋_GB2312" w:hAnsi="仿宋_GB2312" w:cs="仿宋_GB2312" w:eastAsia="仿宋_GB2312"/>
        </w:rPr>
        <w:t>地址：山东省聊城市开发区东昌路159号</w:t>
      </w:r>
    </w:p>
    <w:p>
      <w:pPr>
        <w:pStyle w:val="null5"/>
        <w:jc w:val="left"/>
      </w:pPr>
      <w:r>
        <w:rPr>
          <w:rFonts w:ascii="仿宋_GB2312" w:hAnsi="仿宋_GB2312" w:cs="仿宋_GB2312" w:eastAsia="仿宋_GB2312"/>
        </w:rPr>
        <w:t>邮编：252000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1,000,000.00</w:t>
      </w:r>
    </w:p>
    <w:p>
      <w:pPr>
        <w:pStyle w:val="null5"/>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油品反应分析检测装置</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1,000,000.00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油品反应分析检测装置</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油品反应分析检测装置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left"/>
            </w:pPr>
            <w:r>
              <w:rPr>
                <w:rFonts w:ascii="仿宋_GB2312" w:hAnsi="仿宋_GB2312" w:cs="仿宋_GB2312" w:eastAsia="仿宋_GB2312"/>
              </w:rPr>
              <w:t>油品反应分析检测装置</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标的名称：油品反应分析检测装置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功能概述一：</w:t>
            </w:r>
            <w:r>
              <w:rPr>
                <w:rFonts w:ascii="仿宋_GB2312" w:hAnsi="仿宋_GB2312" w:cs="仿宋_GB2312" w:eastAsia="仿宋_GB2312"/>
                <w:sz w:val="22"/>
              </w:rPr>
              <w:t xml:space="preserve"> </w:t>
            </w:r>
            <w:r>
              <w:rPr>
                <w:rFonts w:ascii="仿宋_GB2312" w:hAnsi="仿宋_GB2312" w:cs="仿宋_GB2312" w:eastAsia="仿宋_GB2312"/>
                <w:sz w:val="21"/>
              </w:rPr>
              <w:t>集成全自动进样单元，可自动完成样品加注、测量池清洗与管路干燥全流程作业，配置高清视频摄像监测系统，可实时观测测量池内部状态，直观排查气泡、杂质等干扰因素。</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功能概述二：</w:t>
            </w:r>
            <w:r>
              <w:rPr>
                <w:rFonts w:ascii="仿宋_GB2312" w:hAnsi="仿宋_GB2312" w:cs="仿宋_GB2312" w:eastAsia="仿宋_GB2312"/>
                <w:sz w:val="22"/>
              </w:rPr>
              <w:t xml:space="preserve"> </w:t>
            </w:r>
            <w:r>
              <w:rPr>
                <w:rFonts w:ascii="仿宋_GB2312" w:hAnsi="仿宋_GB2312" w:cs="仿宋_GB2312" w:eastAsia="仿宋_GB2312"/>
                <w:sz w:val="21"/>
              </w:rPr>
              <w:t>配置独立干燥吹气泵，单次清洗作业完成后可自动对测量管路进行风干处理，防止残留样品交叉污染。支持导入密度</w:t>
            </w:r>
            <w:r>
              <w:rPr>
                <w:rFonts w:ascii="仿宋_GB2312" w:hAnsi="仿宋_GB2312" w:cs="仿宋_GB2312" w:eastAsia="仿宋_GB2312"/>
                <w:sz w:val="21"/>
              </w:rPr>
              <w:t>-浓度对应换算表，设备可自动完成样品浓度智能换算，满足密度、浓度多指标检测需求。</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概述三：具有开机自诊断功能、秒表功能、运转定时器功能、停电储存保护功能、键盘锁定功能、抗电源突变干扰功能、网络化数据通讯及远程控制功能。系统可兼容主流品牌液体自动进样器、顶空进样器及热解析进样器，配备液体自动进样器与对应的气体发生器。</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功能概述四：集成智能扫码录入模块，快速完成样品信息批量登记，配备</w:t>
            </w:r>
            <w:r>
              <w:rPr>
                <w:rFonts w:ascii="仿宋_GB2312" w:hAnsi="仿宋_GB2312" w:cs="仿宋_GB2312" w:eastAsia="仿宋_GB2312"/>
                <w:sz w:val="21"/>
              </w:rPr>
              <w:t>USB数据导出功能。内置双重自动校准程序，可分别完成样品温度、冷浴温度自主校准，保障检测数据溯源性与准确性。</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功能概述五：配备高精度数字化真空监测控制系统，实现真空压力全自动闭环调控，压力参数实时动态显示，试验数据、运行状态实时可视化呈现。</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功能概述六：采用双冷浴结构，溶剂、试样可单独控温，溶剂浴可以放置不少于</w:t>
            </w:r>
            <w:r>
              <w:rPr>
                <w:rFonts w:ascii="仿宋_GB2312" w:hAnsi="仿宋_GB2312" w:cs="仿宋_GB2312" w:eastAsia="仿宋_GB2312"/>
                <w:sz w:val="21"/>
              </w:rPr>
              <w:t>2个试管，用于冷却溶剂；试样浴不少于6个浴孔，其中用于试样冷却搅拌不少于4个，用于试样抽滤不少于2个。配置试样搅拌器，搅拌速度可调。</w:t>
            </w:r>
          </w:p>
        </w:tc>
      </w:tr>
      <w:tr>
        <w:tc>
          <w:tcPr>
            <w:tcW w:type="dxa" w:w="2076"/>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功能概述七：配置过滤系统，采用</w:t>
            </w:r>
            <w:r>
              <w:rPr>
                <w:rFonts w:ascii="仿宋_GB2312" w:hAnsi="仿宋_GB2312" w:cs="仿宋_GB2312" w:eastAsia="仿宋_GB2312"/>
                <w:sz w:val="21"/>
              </w:rPr>
              <w:t>G3砂芯过滤漏斗，真空泵负压吸提方式过滤试样。</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功能概述八：</w:t>
            </w:r>
            <w:r>
              <w:rPr>
                <w:rFonts w:ascii="仿宋_GB2312" w:hAnsi="仿宋_GB2312" w:cs="仿宋_GB2312" w:eastAsia="仿宋_GB2312"/>
                <w:sz w:val="22"/>
              </w:rPr>
              <w:t xml:space="preserve"> </w:t>
            </w:r>
            <w:r>
              <w:rPr>
                <w:rFonts w:ascii="仿宋_GB2312" w:hAnsi="仿宋_GB2312" w:cs="仿宋_GB2312" w:eastAsia="仿宋_GB2312"/>
                <w:sz w:val="21"/>
              </w:rPr>
              <w:t>搭配复合高温密封垫片，快开卡环式密封结构，配置</w:t>
            </w:r>
            <w:r>
              <w:rPr>
                <w:rFonts w:ascii="仿宋_GB2312" w:hAnsi="仿宋_GB2312" w:cs="仿宋_GB2312" w:eastAsia="仿宋_GB2312"/>
                <w:sz w:val="21"/>
              </w:rPr>
              <w:t>≥8个标准开口，中心开口为磁耦合搅拌器，温度传感器，压力表，进气阀，排气阀，冷却水盘管（可拆卸式）。</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功能概述九：采用机械翻转</w:t>
            </w:r>
            <w:r>
              <w:rPr>
                <w:rFonts w:ascii="仿宋_GB2312" w:hAnsi="仿宋_GB2312" w:cs="仿宋_GB2312" w:eastAsia="仿宋_GB2312"/>
                <w:sz w:val="21"/>
              </w:rPr>
              <w:t>+光电传感检测一体化设计，测试管可精准翻转45°，完整复刻国标人工检测流程，检测方式标准规范。</w:t>
            </w:r>
          </w:p>
        </w:tc>
      </w:tr>
      <w:tr>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功能概述十：搭配实验室管理软件，可实现该实验的材料管理、设备管理功能、实验人员管理功能、实验类型管理功能、实验耗材管理功能及实验数据管理功能等。</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功能指标一：进样容量手动注入</w:t>
            </w:r>
            <w:r>
              <w:rPr>
                <w:rFonts w:ascii="仿宋_GB2312" w:hAnsi="仿宋_GB2312" w:cs="仿宋_GB2312" w:eastAsia="仿宋_GB2312"/>
                <w:sz w:val="21"/>
              </w:rPr>
              <w:t>≥2mL，自动泵进样≥4mL。</w:t>
            </w:r>
          </w:p>
        </w:tc>
      </w:tr>
      <w:tr>
        <w:tc>
          <w:tcPr>
            <w:tcW w:type="dxa" w:w="2076"/>
          </w:tcPr>
          <w:p>
            <w:pPr>
              <w:pStyle w:val="null5"/>
              <w:jc w:val="left"/>
            </w:pPr>
            <w:r>
              <w:rPr>
                <w:rFonts w:ascii="仿宋_GB2312" w:hAnsi="仿宋_GB2312" w:cs="仿宋_GB2312" w:eastAsia="仿宋_GB2312"/>
              </w:rPr>
              <w:t>12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功能指标二：温度范围室温～</w:t>
            </w:r>
            <w:r>
              <w:rPr>
                <w:rFonts w:ascii="仿宋_GB2312" w:hAnsi="仿宋_GB2312" w:cs="仿宋_GB2312" w:eastAsia="仿宋_GB2312"/>
                <w:sz w:val="21"/>
              </w:rPr>
              <w:t>450℃，7阶程序升温。</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功能指标三：控温精度：</w:t>
            </w:r>
            <w:r>
              <w:rPr>
                <w:rFonts w:ascii="仿宋_GB2312" w:hAnsi="仿宋_GB2312" w:cs="仿宋_GB2312" w:eastAsia="仿宋_GB2312"/>
                <w:sz w:val="21"/>
              </w:rPr>
              <w:t>≤0.5％，分辨率：≤0.1℃，准确度：±1℃。</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功能指标四：</w:t>
            </w:r>
            <w:r>
              <w:rPr>
                <w:rFonts w:ascii="仿宋_GB2312" w:hAnsi="仿宋_GB2312" w:cs="仿宋_GB2312" w:eastAsia="仿宋_GB2312"/>
                <w:sz w:val="22"/>
              </w:rPr>
              <w:t xml:space="preserve"> </w:t>
            </w:r>
            <w:r>
              <w:rPr>
                <w:rFonts w:ascii="仿宋_GB2312" w:hAnsi="仿宋_GB2312" w:cs="仿宋_GB2312" w:eastAsia="仿宋_GB2312"/>
                <w:sz w:val="21"/>
              </w:rPr>
              <w:t>内置热敏打印单元，支持自定义编辑样品名称、单位信息等内容，输出报表格式灵活，数据归档规范化。可完整留存检测结果、设备校验、故障排查等全维度记录，满足实验室质控与合规审计标准。</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功能指标五：冷凝循环水控温范围：环境温度</w:t>
            </w:r>
            <w:r>
              <w:rPr>
                <w:rFonts w:ascii="仿宋_GB2312" w:hAnsi="仿宋_GB2312" w:cs="仿宋_GB2312" w:eastAsia="仿宋_GB2312"/>
                <w:sz w:val="21"/>
              </w:rPr>
              <w:t>+5℃（最低30℃）～80℃±3℃可调</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功能指标六：</w:t>
            </w:r>
            <w:r>
              <w:rPr>
                <w:rFonts w:ascii="仿宋_GB2312" w:hAnsi="仿宋_GB2312" w:cs="仿宋_GB2312" w:eastAsia="仿宋_GB2312"/>
                <w:sz w:val="22"/>
              </w:rPr>
              <w:t xml:space="preserve"> </w:t>
            </w:r>
            <w:r>
              <w:rPr>
                <w:rFonts w:ascii="仿宋_GB2312" w:hAnsi="仿宋_GB2312" w:cs="仿宋_GB2312" w:eastAsia="仿宋_GB2312"/>
                <w:sz w:val="21"/>
              </w:rPr>
              <w:t>LCD数字显示/数字控制，可连接软件进行控制，标配RC232接口，可与计算机连接，便于处理试验数据。</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功能指标七：配备强制风冷散热系统，可快速完成炉体降温，有效压缩试验时长，提升整体检测效率与周转利用率。</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功能指标八：搅拌驱动器材质</w:t>
            </w:r>
            <w:r>
              <w:rPr>
                <w:rFonts w:ascii="仿宋_GB2312" w:hAnsi="仿宋_GB2312" w:cs="仿宋_GB2312" w:eastAsia="仿宋_GB2312"/>
                <w:sz w:val="21"/>
              </w:rPr>
              <w:t>316L不锈钢,带轴和搅拌桨，加热炉，电动升降，行程≥300mm，且左右90度旋转，加热功率1.8KW，最高转速0～1200转/分钟,最大搅拌力矩不低于30N/cm，有效搅拌的物料最大粘度≥10000mPas。搅拌桨标准配置采用推进式，采用螺纹可替换式连接。工作电压不高于36V电压。</w:t>
            </w:r>
          </w:p>
        </w:tc>
      </w:tr>
      <w:tr>
        <w:tc>
          <w:tcPr>
            <w:tcW w:type="dxa" w:w="2076"/>
          </w:tcPr>
          <w:p>
            <w:pPr>
              <w:pStyle w:val="null5"/>
              <w:jc w:val="left"/>
            </w:pPr>
            <w:r>
              <w:rPr>
                <w:rFonts w:ascii="仿宋_GB2312" w:hAnsi="仿宋_GB2312" w:cs="仿宋_GB2312" w:eastAsia="仿宋_GB2312"/>
              </w:rPr>
              <w:t>19</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功能指标九：在保证测试环境符合</w:t>
            </w:r>
            <w:r>
              <w:rPr>
                <w:rFonts w:ascii="仿宋_GB2312" w:hAnsi="仿宋_GB2312" w:cs="仿宋_GB2312" w:eastAsia="仿宋_GB2312"/>
                <w:sz w:val="21"/>
              </w:rPr>
              <w:t>GB3536或GB/T267-88的情况下，连续测试同一样品，两者闪点值相差≤4℃。系统自动化程度高。可以自动完成测试过程，自动进行冷却，自动信息提示等。</w:t>
            </w:r>
          </w:p>
        </w:tc>
      </w:tr>
      <w:tr>
        <w:tc>
          <w:tcPr>
            <w:tcW w:type="dxa" w:w="2076"/>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功能指标十：</w:t>
            </w:r>
            <w:r>
              <w:rPr>
                <w:rFonts w:ascii="仿宋_GB2312" w:hAnsi="仿宋_GB2312" w:cs="仿宋_GB2312" w:eastAsia="仿宋_GB2312"/>
                <w:sz w:val="22"/>
              </w:rPr>
              <w:t xml:space="preserve"> </w:t>
            </w:r>
            <w:r>
              <w:rPr>
                <w:rFonts w:ascii="仿宋_GB2312" w:hAnsi="仿宋_GB2312" w:cs="仿宋_GB2312" w:eastAsia="仿宋_GB2312"/>
                <w:sz w:val="21"/>
              </w:rPr>
              <w:t>数字显示着火与燃烧时间，测量范围</w:t>
            </w:r>
            <w:r>
              <w:rPr>
                <w:rFonts w:ascii="仿宋_GB2312" w:hAnsi="仿宋_GB2312" w:cs="仿宋_GB2312" w:eastAsia="仿宋_GB2312"/>
                <w:sz w:val="21"/>
              </w:rPr>
              <w:t>0.01%～30%残炭含量，重复性RSD＜1%；加热温度500℃±2℃，程序控温，配备30mL瓷坩埚、75mL内铁坩埚与190mL外铁坩埚标准组件；支持液化石油气/城市燃气加热，具备自动点火、燃烧计时与强制风冷功能。</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技术参数一：</w:t>
            </w:r>
            <w:r>
              <w:rPr>
                <w:rFonts w:ascii="仿宋_GB2312" w:hAnsi="仿宋_GB2312" w:cs="仿宋_GB2312" w:eastAsia="仿宋_GB2312"/>
                <w:sz w:val="22"/>
              </w:rPr>
              <w:t xml:space="preserve"> </w:t>
            </w:r>
            <w:r>
              <w:rPr>
                <w:rFonts w:ascii="仿宋_GB2312" w:hAnsi="仿宋_GB2312" w:cs="仿宋_GB2312" w:eastAsia="仿宋_GB2312"/>
                <w:sz w:val="21"/>
              </w:rPr>
              <w:t>控温范围</w:t>
            </w:r>
            <w:r>
              <w:rPr>
                <w:rFonts w:ascii="仿宋_GB2312" w:hAnsi="仿宋_GB2312" w:cs="仿宋_GB2312" w:eastAsia="仿宋_GB2312"/>
                <w:sz w:val="21"/>
              </w:rPr>
              <w:t>10～40±0.1℃，密度分辨率≤0.0001g/cm</w:t>
            </w:r>
            <w:r>
              <w:rPr>
                <w:rFonts w:ascii="仿宋_GB2312" w:hAnsi="仿宋_GB2312" w:cs="仿宋_GB2312" w:eastAsia="仿宋_GB2312"/>
                <w:sz w:val="21"/>
                <w:vertAlign w:val="superscript"/>
              </w:rPr>
              <w:t>3</w:t>
            </w:r>
            <w:r>
              <w:rPr>
                <w:rFonts w:ascii="仿宋_GB2312" w:hAnsi="仿宋_GB2312" w:cs="仿宋_GB2312" w:eastAsia="仿宋_GB2312"/>
                <w:sz w:val="21"/>
              </w:rPr>
              <w:t>，重复性</w:t>
            </w:r>
            <w:r>
              <w:rPr>
                <w:rFonts w:ascii="仿宋_GB2312" w:hAnsi="仿宋_GB2312" w:cs="仿宋_GB2312" w:eastAsia="仿宋_GB2312"/>
                <w:sz w:val="21"/>
              </w:rPr>
              <w:t>±0.0005g/cm</w:t>
            </w:r>
            <w:r>
              <w:rPr>
                <w:rFonts w:ascii="仿宋_GB2312" w:hAnsi="仿宋_GB2312" w:cs="仿宋_GB2312" w:eastAsia="仿宋_GB2312"/>
                <w:sz w:val="21"/>
                <w:vertAlign w:val="superscript"/>
              </w:rPr>
              <w:t>3</w:t>
            </w:r>
            <w:r>
              <w:rPr>
                <w:rFonts w:ascii="仿宋_GB2312" w:hAnsi="仿宋_GB2312" w:cs="仿宋_GB2312" w:eastAsia="仿宋_GB2312"/>
                <w:sz w:val="21"/>
              </w:rPr>
              <w:t>，准确性</w:t>
            </w:r>
            <w:r>
              <w:rPr>
                <w:rFonts w:ascii="仿宋_GB2312" w:hAnsi="仿宋_GB2312" w:cs="仿宋_GB2312" w:eastAsia="仿宋_GB2312"/>
                <w:sz w:val="21"/>
              </w:rPr>
              <w:t>±0.0005g/cm</w:t>
            </w:r>
            <w:r>
              <w:rPr>
                <w:rFonts w:ascii="仿宋_GB2312" w:hAnsi="仿宋_GB2312" w:cs="仿宋_GB2312" w:eastAsia="仿宋_GB2312"/>
                <w:sz w:val="21"/>
                <w:vertAlign w:val="superscript"/>
              </w:rPr>
              <w:t>3</w:t>
            </w:r>
            <w:r>
              <w:rPr>
                <w:rFonts w:ascii="仿宋_GB2312" w:hAnsi="仿宋_GB2312" w:cs="仿宋_GB2312" w:eastAsia="仿宋_GB2312"/>
                <w:sz w:val="21"/>
              </w:rPr>
              <w:t>，测试量程</w:t>
            </w:r>
            <w:r>
              <w:rPr>
                <w:rFonts w:ascii="仿宋_GB2312" w:hAnsi="仿宋_GB2312" w:cs="仿宋_GB2312" w:eastAsia="仿宋_GB2312"/>
                <w:sz w:val="21"/>
              </w:rPr>
              <w:t>0.0001～1.9999g/cm</w:t>
            </w:r>
            <w:r>
              <w:rPr>
                <w:rFonts w:ascii="仿宋_GB2312" w:hAnsi="仿宋_GB2312" w:cs="仿宋_GB2312" w:eastAsia="仿宋_GB2312"/>
                <w:sz w:val="21"/>
                <w:vertAlign w:val="superscript"/>
              </w:rPr>
              <w:t>3。</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技术参数二：</w:t>
            </w:r>
            <w:r>
              <w:rPr>
                <w:rFonts w:ascii="仿宋_GB2312" w:hAnsi="仿宋_GB2312" w:cs="仿宋_GB2312" w:eastAsia="仿宋_GB2312"/>
                <w:sz w:val="22"/>
              </w:rPr>
              <w:t xml:space="preserve"> </w:t>
            </w:r>
            <w:r>
              <w:rPr>
                <w:rFonts w:ascii="仿宋_GB2312" w:hAnsi="仿宋_GB2312" w:cs="仿宋_GB2312" w:eastAsia="仿宋_GB2312"/>
                <w:sz w:val="21"/>
              </w:rPr>
              <w:t>可显示密度、相对密度、温度、浓度、波美度等参数，储存</w:t>
            </w:r>
            <w:r>
              <w:rPr>
                <w:rFonts w:ascii="仿宋_GB2312" w:hAnsi="仿宋_GB2312" w:cs="仿宋_GB2312" w:eastAsia="仿宋_GB2312"/>
                <w:sz w:val="21"/>
              </w:rPr>
              <w:t>≥100组自定义测量方法,包括每个样品的测量参数，依据测量精确度和时间，可自行设置稳定时间，测试数值自动保存，且可以自动计算平均值，最大值和最小值。</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技术参数三：最大操控温度</w:t>
            </w:r>
            <w:r>
              <w:rPr>
                <w:rFonts w:ascii="仿宋_GB2312" w:hAnsi="仿宋_GB2312" w:cs="仿宋_GB2312" w:eastAsia="仿宋_GB2312"/>
                <w:sz w:val="21"/>
              </w:rPr>
              <w:t>≥400℃，检测限≤5×10</w:t>
            </w:r>
            <w:r>
              <w:rPr>
                <w:rFonts w:ascii="仿宋_GB2312" w:hAnsi="仿宋_GB2312" w:cs="仿宋_GB2312" w:eastAsia="仿宋_GB2312"/>
                <w:sz w:val="21"/>
                <w:vertAlign w:val="superscript"/>
              </w:rPr>
              <w:t>-12</w:t>
            </w:r>
            <w:r>
              <w:rPr>
                <w:rFonts w:ascii="仿宋_GB2312" w:hAnsi="仿宋_GB2312" w:cs="仿宋_GB2312" w:eastAsia="仿宋_GB2312"/>
                <w:sz w:val="21"/>
              </w:rPr>
              <w:t>g/s，漂移≤5×10</w:t>
            </w:r>
            <w:r>
              <w:rPr>
                <w:rFonts w:ascii="仿宋_GB2312" w:hAnsi="仿宋_GB2312" w:cs="仿宋_GB2312" w:eastAsia="仿宋_GB2312"/>
                <w:sz w:val="21"/>
                <w:vertAlign w:val="superscript"/>
              </w:rPr>
              <w:t>-13</w:t>
            </w:r>
            <w:r>
              <w:rPr>
                <w:rFonts w:ascii="仿宋_GB2312" w:hAnsi="仿宋_GB2312" w:cs="仿宋_GB2312" w:eastAsia="仿宋_GB2312"/>
                <w:sz w:val="21"/>
              </w:rPr>
              <w:t>A/30min，噪音≤2×10</w:t>
            </w:r>
            <w:r>
              <w:rPr>
                <w:rFonts w:ascii="仿宋_GB2312" w:hAnsi="仿宋_GB2312" w:cs="仿宋_GB2312" w:eastAsia="仿宋_GB2312"/>
                <w:sz w:val="21"/>
                <w:vertAlign w:val="superscript"/>
              </w:rPr>
              <w:t>-13</w:t>
            </w:r>
            <w:r>
              <w:rPr>
                <w:rFonts w:ascii="仿宋_GB2312" w:hAnsi="仿宋_GB2312" w:cs="仿宋_GB2312" w:eastAsia="仿宋_GB2312"/>
                <w:sz w:val="21"/>
              </w:rPr>
              <w:t>A，动态线性范围≥10</w:t>
            </w:r>
            <w:r>
              <w:rPr>
                <w:rFonts w:ascii="仿宋_GB2312" w:hAnsi="仿宋_GB2312" w:cs="仿宋_GB2312" w:eastAsia="仿宋_GB2312"/>
                <w:sz w:val="21"/>
                <w:vertAlign w:val="superscript"/>
              </w:rPr>
              <w:t>7</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技术参数四：</w:t>
            </w:r>
            <w:r>
              <w:rPr>
                <w:rFonts w:ascii="仿宋_GB2312" w:hAnsi="仿宋_GB2312" w:cs="仿宋_GB2312" w:eastAsia="仿宋_GB2312"/>
                <w:sz w:val="22"/>
              </w:rPr>
              <w:t xml:space="preserve"> </w:t>
            </w:r>
            <w:r>
              <w:rPr>
                <w:rFonts w:ascii="仿宋_GB2312" w:hAnsi="仿宋_GB2312" w:cs="仿宋_GB2312" w:eastAsia="仿宋_GB2312"/>
                <w:sz w:val="21"/>
              </w:rPr>
              <w:t>压缩机复叠式制冷技术，采用光电检测方式，分辨率</w:t>
            </w:r>
            <w:r>
              <w:rPr>
                <w:rFonts w:ascii="仿宋_GB2312" w:hAnsi="仿宋_GB2312" w:cs="仿宋_GB2312" w:eastAsia="仿宋_GB2312"/>
                <w:sz w:val="21"/>
              </w:rPr>
              <w:t>≤0.1℃，控温范围-80℃～60℃，湿度测量0～100%RH，气压测量10～1100hPa，配置漏电保护、过载保护、过温保护。</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技术参数五：</w:t>
            </w:r>
            <w:r>
              <w:rPr>
                <w:rFonts w:ascii="仿宋_GB2312" w:hAnsi="仿宋_GB2312" w:cs="仿宋_GB2312" w:eastAsia="仿宋_GB2312"/>
                <w:sz w:val="22"/>
              </w:rPr>
              <w:t xml:space="preserve"> </w:t>
            </w:r>
            <w:r>
              <w:rPr>
                <w:rFonts w:ascii="仿宋_GB2312" w:hAnsi="仿宋_GB2312" w:cs="仿宋_GB2312" w:eastAsia="仿宋_GB2312"/>
                <w:sz w:val="21"/>
              </w:rPr>
              <w:t>测定系统温度测量范围</w:t>
            </w:r>
            <w:r>
              <w:rPr>
                <w:rFonts w:ascii="仿宋_GB2312" w:hAnsi="仿宋_GB2312" w:cs="仿宋_GB2312" w:eastAsia="仿宋_GB2312"/>
                <w:sz w:val="21"/>
              </w:rPr>
              <w:t>50～200℃，重复性≤2℃，再现性≤±4℃，分辨率≤0.1℃，精度≤0.5％，电子点火，功率≥300W。显示器≥7寸触摸屏，可存储不少于1000个测定结果，可进行升降杆、划扫杆、打印等自检功能，内部配置时钟芯片，自动显示当前日期、时间、掉电保持。</w:t>
            </w:r>
          </w:p>
        </w:tc>
      </w:tr>
      <w:tr>
        <w:tc>
          <w:tcPr>
            <w:tcW w:type="dxa" w:w="2076"/>
          </w:tcPr>
          <w:p>
            <w:pPr>
              <w:pStyle w:val="null5"/>
              <w:jc w:val="left"/>
            </w:pPr>
            <w:r>
              <w:rPr>
                <w:rFonts w:ascii="仿宋_GB2312" w:hAnsi="仿宋_GB2312" w:cs="仿宋_GB2312" w:eastAsia="仿宋_GB2312"/>
              </w:rPr>
              <w:t>26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技术参数六：烧瓶加热炉功率</w:t>
            </w:r>
            <w:r>
              <w:rPr>
                <w:rFonts w:ascii="仿宋_GB2312" w:hAnsi="仿宋_GB2312" w:cs="仿宋_GB2312" w:eastAsia="仿宋_GB2312"/>
                <w:sz w:val="21"/>
              </w:rPr>
              <w:t>0～600W连续可调，冷凝循环水控温范围+5℃（最低30℃）～80℃±3℃可调。半导体制冷，最低温度≤-40℃，真空残压设定范围(2、5、10、20、50)mmHg，自动恒压，真空残压测量范围：(1.00～170.00)mmHg，控压精度：压力低于7.5mmHg±0.07mmHg；压力高于7.5mmHg±1%，油蒸汽及油温测温范围0～400℃。冷凝水箱容积：≥2L。</w:t>
            </w:r>
          </w:p>
        </w:tc>
      </w:tr>
      <w:tr>
        <w:tc>
          <w:tcPr>
            <w:tcW w:type="dxa" w:w="2076"/>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技术参数七：设计工作压力</w:t>
            </w:r>
            <w:r>
              <w:rPr>
                <w:rFonts w:ascii="仿宋_GB2312" w:hAnsi="仿宋_GB2312" w:cs="仿宋_GB2312" w:eastAsia="仿宋_GB2312"/>
                <w:sz w:val="21"/>
              </w:rPr>
              <w:t>/温度：≥30MPa，≥450℃，搅拌马达四叶推进搅拌桨，无刷直流马达采用方波自控式永磁同步电机，以钕铁硼作为转子的永磁材料，搅拌转速极限0～1200rpm，最大搅拌粘度(cps)100000，连续扭力(N-cm)195，最大扭力1500N-cm</w:t>
            </w:r>
            <w:r>
              <w:rPr>
                <w:rFonts w:ascii="仿宋_GB2312" w:hAnsi="仿宋_GB2312" w:cs="仿宋_GB2312" w:eastAsia="仿宋_GB2312"/>
                <w:sz w:val="21"/>
              </w:rPr>
              <w:t>。</w:t>
            </w:r>
          </w:p>
        </w:tc>
      </w:tr>
      <w:tr>
        <w:tc>
          <w:tcPr>
            <w:tcW w:type="dxa" w:w="2076"/>
          </w:tcPr>
          <w:p>
            <w:pPr>
              <w:pStyle w:val="null5"/>
              <w:jc w:val="left"/>
            </w:pPr>
            <w:r>
              <w:rPr>
                <w:rFonts w:ascii="仿宋_GB2312" w:hAnsi="仿宋_GB2312" w:cs="仿宋_GB2312" w:eastAsia="仿宋_GB2312"/>
              </w:rPr>
              <w:t>28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技术参数八：搅拌转速控制和</w:t>
            </w:r>
            <w:r>
              <w:rPr>
                <w:rFonts w:ascii="仿宋_GB2312" w:hAnsi="仿宋_GB2312" w:cs="仿宋_GB2312" w:eastAsia="仿宋_GB2312"/>
                <w:sz w:val="21"/>
              </w:rPr>
              <w:t>PID程序温控器，双向通讯电缆，实现温度、转数控制，工作时间，自整定校准；测温探头精度不低于±0.5%，控温波动度小于±0.5%。可编程程序段数≥20段，并具有温度准备、程序保持、程序自停、程序跳转的功能，可自主设定报警温度、报警压力，超温超压自动断电保护，可实现实验数据保留、生产温度，温度升温阶段反应釜温控精度为±0.1℃，升温稳定阶段工位温度误差精度小于±0.5℃，搅拌转速控制小于±1转。</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技术参数九：系统全不锈钢压力室，可补压</w:t>
            </w:r>
            <w:r>
              <w:rPr>
                <w:rFonts w:ascii="仿宋_GB2312" w:hAnsi="仿宋_GB2312" w:cs="仿宋_GB2312" w:eastAsia="仿宋_GB2312"/>
                <w:sz w:val="21"/>
              </w:rPr>
              <w:t>1MP，加热器功率:≥800W，输出交流电流0～100mA，可通过面板触摸屏数据输入自由自动调节高压，采用机械式电机线性调节器，温度自动控制范围:室温～200℃之间可以任意设定，可同时满足6*100ml样品测试，实验结束冷却自动打开，无需人工操作，冷却采用自动风冷。</w:t>
            </w:r>
          </w:p>
        </w:tc>
      </w:tr>
      <w:tr>
        <w:tc>
          <w:tcPr>
            <w:tcW w:type="dxa" w:w="2076"/>
          </w:tcPr>
          <w:p>
            <w:pPr>
              <w:pStyle w:val="null5"/>
              <w:jc w:val="left"/>
            </w:pPr>
            <w:r>
              <w:rPr>
                <w:rFonts w:ascii="仿宋_GB2312" w:hAnsi="仿宋_GB2312" w:cs="仿宋_GB2312" w:eastAsia="仿宋_GB2312"/>
              </w:rPr>
              <w:t>30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技术参数十：系统测量准确度水含量在</w:t>
            </w:r>
            <w:r>
              <w:rPr>
                <w:rFonts w:ascii="仿宋_GB2312" w:hAnsi="仿宋_GB2312" w:cs="仿宋_GB2312" w:eastAsia="仿宋_GB2312"/>
                <w:sz w:val="21"/>
              </w:rPr>
              <w:t>100ug～1000微克时，误差≤±2ug，水含量在1000微克水以上时，误差≤±0.2%，测量分辨力0.1pgH</w:t>
            </w:r>
            <w:r>
              <w:rPr>
                <w:rFonts w:ascii="仿宋_GB2312" w:hAnsi="仿宋_GB2312" w:cs="仿宋_GB2312" w:eastAsia="仿宋_GB2312"/>
                <w:sz w:val="21"/>
                <w:vertAlign w:val="subscript"/>
              </w:rPr>
              <w:t>2</w:t>
            </w:r>
            <w:r>
              <w:rPr>
                <w:rFonts w:ascii="仿宋_GB2312" w:hAnsi="仿宋_GB2312" w:cs="仿宋_GB2312" w:eastAsia="仿宋_GB2312"/>
                <w:sz w:val="21"/>
              </w:rPr>
              <w:t>0，浓度范围0～100%，浓度分辨率0.001ppm，电解电流0～400mA可调节，使用环境温度2°C～50°C，湿度90%，功率消耗≤50W，样品编号用户可自由设定样品编号，存储数据≥500条，具备自动漂移补偿、环境及本底水分自动扣除、故障自检提示，试剂失效、曲线显示、故障提醒功能。</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技术参数十一：系统采用蠕动泵计量技术，萃取液与中和液由蠕动泵控制加入，酸值准确度在</w:t>
            </w:r>
            <w:r>
              <w:rPr>
                <w:rFonts w:ascii="仿宋_GB2312" w:hAnsi="仿宋_GB2312" w:cs="仿宋_GB2312" w:eastAsia="仿宋_GB2312"/>
                <w:sz w:val="21"/>
              </w:rPr>
              <w:t>0.001～0.1000mgKOH/g之间±0.002mgKOH/g，酸值在0.1000～0.5000mgKOH/g之间示值的±5%，分辨率0.0001mgKOH/g，重复性0.002mgKOH/g，颜色传感器配合检测滴定终点，结束条件判断可靠。</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技术参数十二：</w:t>
            </w:r>
            <w:r>
              <w:rPr>
                <w:rFonts w:ascii="仿宋_GB2312" w:hAnsi="仿宋_GB2312" w:cs="仿宋_GB2312" w:eastAsia="仿宋_GB2312"/>
                <w:sz w:val="22"/>
              </w:rPr>
              <w:t xml:space="preserve"> </w:t>
            </w:r>
            <w:r>
              <w:rPr>
                <w:rFonts w:ascii="仿宋_GB2312" w:hAnsi="仿宋_GB2312" w:cs="仿宋_GB2312" w:eastAsia="仿宋_GB2312"/>
                <w:sz w:val="21"/>
              </w:rPr>
              <w:t>系统可预先设置模式上、下限，超出范围自动显示，辛烷值的测量范围以</w:t>
            </w:r>
            <w:r>
              <w:rPr>
                <w:rFonts w:ascii="仿宋_GB2312" w:hAnsi="仿宋_GB2312" w:cs="仿宋_GB2312" w:eastAsia="仿宋_GB2312"/>
                <w:sz w:val="21"/>
              </w:rPr>
              <w:t>ON为计量单位40～120，允许测量误差±0.5，测量结果的可浮动范围±0.2，十六烷值的测量范围以CN为计量单位：20～100，允许测量误差±1，测量结果的可浮动范围±0.5，测量时间（秒）&lt;10，电池电压过低的临界值2.5V，传感器60×100mm，消耗电流≤30mA。</w:t>
            </w:r>
          </w:p>
        </w:tc>
      </w:tr>
      <w:tr>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软件功能一：模块可联动控制，同步数据采集，数据存储，测试报告生成，氢气泄漏检测等功能，界面整洁，工业风格，操作简便。</w:t>
            </w:r>
          </w:p>
        </w:tc>
      </w:tr>
      <w:tr>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软件功能二：</w:t>
            </w:r>
            <w:r>
              <w:rPr>
                <w:rFonts w:ascii="仿宋_GB2312" w:hAnsi="仿宋_GB2312" w:cs="仿宋_GB2312" w:eastAsia="仿宋_GB2312"/>
                <w:sz w:val="22"/>
              </w:rPr>
              <w:t xml:space="preserve"> </w:t>
            </w:r>
            <w:r>
              <w:rPr>
                <w:rFonts w:ascii="仿宋_GB2312" w:hAnsi="仿宋_GB2312" w:cs="仿宋_GB2312" w:eastAsia="仿宋_GB2312"/>
                <w:sz w:val="21"/>
              </w:rPr>
              <w:t>模块具备设备信息记录、维护记录、使用记录、设备故障预警、维护提醒、设备远程开关机、报警参数调整等功能。（成交后需提供相关视频资料以佐证该参数满足要求）</w:t>
            </w:r>
          </w:p>
        </w:tc>
      </w:tr>
      <w:tr>
        <w:tc>
          <w:tcPr>
            <w:tcW w:type="dxa" w:w="2076"/>
          </w:tcPr>
          <w:p>
            <w:pPr>
              <w:pStyle w:val="null5"/>
              <w:jc w:val="left"/>
            </w:pPr>
            <w:r>
              <w:rPr>
                <w:rFonts w:ascii="仿宋_GB2312" w:hAnsi="仿宋_GB2312" w:cs="仿宋_GB2312" w:eastAsia="仿宋_GB2312"/>
              </w:rPr>
              <w:t>35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软件功能三：模块可采集环境温度、湿度、烟雾等数据，可对应修改弹窗中设置报警下限，报警上限，报警单位，报警类型。（成交后需提供相关视频资料以佐证该参数满足要求）</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软件功能四：模块可监测到异常情况，自动触发预警机制，提醒实验人员及时处理，发生意外至报警时间不超过</w:t>
            </w:r>
            <w:r>
              <w:rPr>
                <w:rFonts w:ascii="仿宋_GB2312" w:hAnsi="仿宋_GB2312" w:cs="仿宋_GB2312" w:eastAsia="仿宋_GB2312"/>
                <w:sz w:val="21"/>
              </w:rPr>
              <w:t>5s。</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油品反应分析检测装置</w:t>
            </w:r>
          </w:p>
        </w:tc>
        <w:tc>
          <w:tcPr>
            <w:tcW w:type="dxa" w:w="2076"/>
          </w:tcPr>
          <w:p>
            <w:pPr>
              <w:pStyle w:val="null5"/>
              <w:jc w:val="both"/>
            </w:pPr>
            <w:r>
              <w:rPr>
                <w:rFonts w:ascii="仿宋_GB2312" w:hAnsi="仿宋_GB2312" w:cs="仿宋_GB2312" w:eastAsia="仿宋_GB2312"/>
                <w:sz w:val="21"/>
              </w:rPr>
              <w:t>软件功能五：模块支持查看项目实验介绍、需求分析</w:t>
            </w:r>
            <w:r>
              <w:rPr>
                <w:rFonts w:ascii="仿宋_GB2312" w:hAnsi="仿宋_GB2312" w:cs="仿宋_GB2312" w:eastAsia="仿宋_GB2312"/>
                <w:sz w:val="21"/>
              </w:rPr>
              <w:t>,并提供图文、在线文档、实验分类(目录结构及目标效果图)等多种呈现方式。基于项目任务分工,用户可查看个人任务安排，控制项目进度。</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售后服务</w:t>
            </w:r>
          </w:p>
        </w:tc>
        <w:tc>
          <w:tcPr>
            <w:tcW w:type="dxa" w:w="4153"/>
          </w:tcPr>
          <w:p>
            <w:pPr>
              <w:pStyle w:val="null5"/>
              <w:jc w:val="left"/>
            </w:pPr>
            <w:r>
              <w:rPr>
                <w:rFonts w:ascii="仿宋_GB2312" w:hAnsi="仿宋_GB2312" w:cs="仿宋_GB2312" w:eastAsia="仿宋_GB2312"/>
              </w:rPr>
              <w:t>（1）提供7×24小时全天候售后支持。质保期内2小时电话响应，24小时内到达现场，一般故障36小时修复；（2）提供3次免费培训，分别对操作、维护、管理三个维度进行培训；（3）备有充足备件库，确保设备完好率≥98%。</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1）本项目的成交供应商必须负责全部设备及产品的安装调试，直至达到良好的使用效果；（2）供应商必须书面承诺所供产品均为原厂正品，不得使用任何劣货、假货等产品。（3）设备安装时对采购人指定的人员进行现场培训服务，内容包括设备的技术原理、操作方法、数据处理方法、基本维护方法等。（4）供货要求：必须是原制造商制造的全新产品，整机无污染、无侵权行为、表面无划损、无任何缺陷隐患。（5）安装调试要求：卖方需在最终用户现场进行安装、调试，设备到货后30个工作日内完成全部设备安装调试工作，调试后验收需达到技术要求中所有技术指标。</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合同签订后60日内完成全部货物的供货、安装、调试和培训工作。</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w:t>
            </w:r>
            <w:r>
              <w:rPr>
                <w:rFonts w:ascii="仿宋_GB2312" w:hAnsi="仿宋_GB2312" w:cs="仿宋_GB2312" w:eastAsia="仿宋_GB2312"/>
              </w:rPr>
              <w:t>进度款，签订合同，设备安装调试完成、验收合格无质量问题及其他争议，采购人收到供应商发票后，达到付款条件起60个工作日内，支付合同总金额的95.0%</w:t>
            </w:r>
            <w:r>
              <w:br/>
            </w:r>
            <w:r>
              <w:rPr>
                <w:rFonts w:ascii="仿宋_GB2312" w:hAnsi="仿宋_GB2312" w:cs="仿宋_GB2312" w:eastAsia="仿宋_GB2312"/>
              </w:rPr>
              <w:t>2、</w:t>
            </w:r>
            <w:r>
              <w:rPr>
                <w:rFonts w:ascii="仿宋_GB2312" w:hAnsi="仿宋_GB2312" w:cs="仿宋_GB2312" w:eastAsia="仿宋_GB2312"/>
              </w:rPr>
              <w:t>其他，下⼀年度无息付清，达到付款条件起60个工作日内，支付合同总金额的5.0%</w:t>
            </w:r>
            <w:r>
              <w:br/>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质保期：一年，质保期内因产品质量问题导致的维修、更换配件等费用由成交供应商承担。</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报价为含税全包价，包含完成全部供货所需全部成本，采购⼈不再另⾏⽀付其他费⽤；供应商仅能提供⼀套固定报价，不得设置多套备选报价；评审中报价经修正的，供应商须按要求电⼦签章确认，逾期未确认按⽆效响应处理；报价应客观合理，触发异常低价审查时须提供成本相关佐证材料，⽆法说明合理性的作⽆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w:t>
            </w:r>
          </w:p>
        </w:tc>
        <w:tc>
          <w:tcPr>
            <w:tcW w:type="dxa" w:w="3322"/>
          </w:tcPr>
          <w:p>
            <w:pPr>
              <w:pStyle w:val="null5"/>
              <w:jc w:val="left"/>
            </w:pPr>
            <w:r>
              <w:rPr>
                <w:rFonts w:ascii="仿宋_GB2312" w:hAnsi="仿宋_GB2312" w:cs="仿宋_GB2312" w:eastAsia="仿宋_GB2312"/>
              </w:rPr>
              <w:t>供应商须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有依法缴纳税收和社会保障资金的良好记录</w:t>
            </w:r>
          </w:p>
        </w:tc>
        <w:tc>
          <w:tcPr>
            <w:tcW w:type="dxa" w:w="3322"/>
          </w:tcPr>
          <w:p>
            <w:pPr>
              <w:pStyle w:val="null5"/>
              <w:jc w:val="left"/>
            </w:pPr>
            <w:r>
              <w:rPr>
                <w:rFonts w:ascii="仿宋_GB2312" w:hAnsi="仿宋_GB2312" w:cs="仿宋_GB2312" w:eastAsia="仿宋_GB2312"/>
              </w:rPr>
              <w:t>1.依法缴纳税收和社会保险费的相关证明材料 （1）供应商依法缴纳近半年内任意一个月税收的凭据（或纳税申报）或依法缴纳税收和社会保障资金承诺函（格式详见附件）； （2）供应商依法缴纳近半年内任意一个月社会保险的凭据或依法缴纳税收和社会保障资金承诺函（格式详见附件）； （3）依法免税或不需要缴纳社会保险的供应商，应提供相应文件证明其依法免税或不需要缴纳社会保险。 注：1.在山东省境内注册的供应商参与本项目，且可通过“中国山东政府采购网”查询缴纳税收和社会保障资金信息的，可在响应文件中提供《依法缴纳税收和社会保障资金承诺函》。 供应商可登录“中国山东政府采购网”(www.ccgp-shandong.gov.cn)，在“开评标管理”栏目中查询本单位在山东省缴纳税收和社会保障资金的情况。 2.以下情形不适用提供《依法缴纳税收和社会保障资金承诺函》，应按照磋商文件要求提供相关证明材料。 1)供应商登录“中国山东政府采购网”查询缴纳税收和社会保障资金信息反馈无相关信息的。 2)依法免税或不需要缴纳社会保障资金的。 3)未在山东省内缴纳税收和社会保障资金的供应商。 4)其他不适用依法缴纳税收和社会保障资金承诺制的情形 （提供原件扫描件或复印件加盖公章）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提供参加政府采购活动前三年内在经营活动中没有重大违法记录的书面声明。格式按附件《无重大违法记录声明》（提供原件扫描件或复印件加盖公章）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提供具备履行合同所必需的设备和专业技术能力的证明材料，是指提供《履行合同的设备技术能力证明表》（格式见附件）（提供原件扫描件或复印件加盖公章）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本采购包属于专门面向小微企业采购。</w:t>
            </w:r>
          </w:p>
        </w:tc>
        <w:tc>
          <w:tcPr>
            <w:tcW w:type="dxa" w:w="3322"/>
          </w:tcPr>
          <w:p>
            <w:pPr>
              <w:pStyle w:val="null5"/>
              <w:jc w:val="left"/>
            </w:pPr>
            <w:r>
              <w:rPr>
                <w:rFonts w:ascii="仿宋_GB2312" w:hAnsi="仿宋_GB2312" w:cs="仿宋_GB2312" w:eastAsia="仿宋_GB2312"/>
              </w:rPr>
              <w:t>本采购包为专门面向小微企业采购，供应商须提供中小企业声明函。监狱企业、残疾人福利性单位视同小型、微型企业。（格式见附件）</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是否按招标文件规定要求签署、盖章</w:t>
            </w:r>
          </w:p>
        </w:tc>
        <w:tc>
          <w:tcPr>
            <w:tcW w:type="dxa" w:w="3322"/>
          </w:tcPr>
          <w:p>
            <w:pPr>
              <w:pStyle w:val="null5"/>
              <w:jc w:val="left"/>
            </w:pPr>
            <w:r>
              <w:rPr>
                <w:rFonts w:ascii="仿宋_GB2312" w:hAnsi="仿宋_GB2312" w:cs="仿宋_GB2312" w:eastAsia="仿宋_GB2312"/>
              </w:rPr>
              <w:t>按招标文件规定要求签署、盖章</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是否按规定提供强制节能产品（如有）</w:t>
            </w:r>
          </w:p>
        </w:tc>
        <w:tc>
          <w:tcPr>
            <w:tcW w:type="dxa" w:w="3322"/>
          </w:tcPr>
          <w:p>
            <w:pPr>
              <w:pStyle w:val="null5"/>
              <w:jc w:val="left"/>
            </w:pPr>
            <w:r>
              <w:rPr>
                <w:rFonts w:ascii="仿宋_GB2312" w:hAnsi="仿宋_GB2312" w:cs="仿宋_GB2312" w:eastAsia="仿宋_GB2312"/>
              </w:rPr>
              <w:t>按文件规定提供强制节能产品（如有）</w:t>
            </w:r>
          </w:p>
        </w:tc>
        <w:tc>
          <w:tcPr>
            <w:tcW w:type="dxa" w:w="1661"/>
          </w:tcPr>
          <w:p>
            <w:pPr>
              <w:pStyle w:val="null5"/>
              <w:jc w:val="left"/>
            </w:pPr>
            <w:r>
              <w:rPr>
                <w:rFonts w:ascii="仿宋_GB2312" w:hAnsi="仿宋_GB2312" w:cs="仿宋_GB2312" w:eastAsia="仿宋_GB2312"/>
              </w:rPr>
              <w:t>资格证明文件、技术偏离表、开标（报价）一览表、投标（响应）报价明细表、商务偏离表、分项报价明细表、封面、响应函、不参与串通投标承诺书、法定代表人身份证明、法定代表人授权委托书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节能环保政策</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投标（响应）报价明细表、开标（报价）一览表、分项报价明细表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投标（响应）报价明细表、开标（报价）一览表、分项报价明细表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分项报价明细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供应商认为需要提交的其他文件、分项报价明细表、产品均为原厂正品承诺函、响应函、不参与串通投标承诺书、法定代表人身份证明、法定代表人授权委托书、供应商基本情况表</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启动异常低价投标审查后，投标人不能提供书面说明、证明材料，或者提供的书面说明、证明材料不能证明其报价合理性的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投标（响应）报价明细表、开标（报价）一览表、分项报价明细表</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技术部分51.00分</w:t>
            </w:r>
          </w:p>
          <w:p>
            <w:pPr>
              <w:pStyle w:val="null5"/>
            </w:pPr>
            <w:r>
              <w:rPr>
                <w:rFonts w:ascii="仿宋_GB2312" w:hAnsi="仿宋_GB2312" w:cs="仿宋_GB2312" w:eastAsia="仿宋_GB2312"/>
              </w:rPr>
              <w:t>商务部分9.00分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附加分9.10分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磋商小组从以下内容进行打分，有该项内容的得相应分值，每缺一项该项不得分。 技术指标响应：根据供应商所报产品的技术标准与参数配置对磋商要求的响应程度以及技术指标的偏离情况进行评审，所报产品的所有参数配置与技术指标无偏离或正偏离得基准分25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w:t>
            </w:r>
          </w:p>
        </w:tc>
        <w:tc>
          <w:tcPr>
            <w:tcW w:type="dxa" w:w="831"/>
          </w:tcPr>
          <w:p>
            <w:pPr>
              <w:pStyle w:val="null5"/>
              <w:jc w:val="center"/>
            </w:pPr>
            <w:r>
              <w:rPr>
                <w:rFonts w:ascii="仿宋_GB2312" w:hAnsi="仿宋_GB2312" w:cs="仿宋_GB2312" w:eastAsia="仿宋_GB2312"/>
              </w:rPr>
              <w:t>25.0000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产品技术性能及参数</w:t>
            </w:r>
          </w:p>
        </w:tc>
      </w:tr>
      <w:tr>
        <w:tc>
          <w:tcPr>
            <w:tcW w:type="dxa" w:w="831"/>
            <w:vMerge/>
          </w:tcPr>
          <w:p/>
        </w:tc>
        <w:tc>
          <w:tcPr>
            <w:tcW w:type="dxa" w:w="1661"/>
          </w:tcPr>
          <w:p>
            <w:pPr>
              <w:pStyle w:val="null5"/>
            </w:pPr>
            <w:r>
              <w:rPr>
                <w:rFonts w:ascii="仿宋_GB2312" w:hAnsi="仿宋_GB2312" w:cs="仿宋_GB2312" w:eastAsia="仿宋_GB2312"/>
              </w:rPr>
              <w:t>安装调试方案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 瑕疵或不足是指（下同）：存在不适用项目实际情况的情形、凭空编造、内容前后不一致、前后逻辑错误、涉及的规范及标准错误、地点区域错误、不符合采购需求、针对性不强等。</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安装调试方案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磋商小组成员根据方案响应情况进行综合评审，酌情打分，本项满分5分。存在瑕疵或不足的以0.5分为单位进行扣减，扣完为止；无此项内容不得分。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售后服务能力与承诺1</w:t>
            </w:r>
          </w:p>
        </w:tc>
        <w:tc>
          <w:tcPr>
            <w:tcW w:type="dxa" w:w="2575"/>
          </w:tcPr>
          <w:p>
            <w:pPr>
              <w:pStyle w:val="null5"/>
            </w:pPr>
            <w:r>
              <w:rPr>
                <w:rFonts w:ascii="仿宋_GB2312" w:hAnsi="仿宋_GB2312" w:cs="仿宋_GB2312" w:eastAsia="仿宋_GB2312"/>
              </w:rPr>
              <w:t>故障支持与解决：供应商提供7×24小时（全天候）响应，接到故障通知后在12小时内到达并解决故障，得1分；供应商提供7×24小时响应，接到故障通知后在18小时内到达并解决故障，得0.5分。 电子磋商文件中附承诺函并加盖供应商电子签章，否则不予得分。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售后服务能力与承诺2</w:t>
            </w:r>
          </w:p>
        </w:tc>
        <w:tc>
          <w:tcPr>
            <w:tcW w:type="dxa" w:w="2575"/>
          </w:tcPr>
          <w:p>
            <w:pPr>
              <w:pStyle w:val="null5"/>
            </w:pPr>
            <w:r>
              <w:rPr>
                <w:rFonts w:ascii="仿宋_GB2312" w:hAnsi="仿宋_GB2312" w:cs="仿宋_GB2312" w:eastAsia="仿宋_GB2312"/>
              </w:rPr>
              <w:t>供应商承诺所投产品（设备）整体系统质量免费保修（包括人工和部件）、上门服务年限均为2年（含）以上，得1分，否则不得分。 电子磋商文件中附承诺函并加盖供应商电子签章，否则不予得分。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售后服务能力与承诺3</w:t>
            </w:r>
          </w:p>
        </w:tc>
        <w:tc>
          <w:tcPr>
            <w:tcW w:type="dxa" w:w="2575"/>
          </w:tcPr>
          <w:p>
            <w:pPr>
              <w:pStyle w:val="null5"/>
            </w:pPr>
            <w:r>
              <w:rPr>
                <w:rFonts w:ascii="仿宋_GB2312" w:hAnsi="仿宋_GB2312" w:cs="仿宋_GB2312" w:eastAsia="仿宋_GB2312"/>
              </w:rPr>
              <w:t>供应商承诺在成交后，提供至少5人到采购人指定地点进行至少3次相关设备操作、维护、管理培训，得1分；供应商承诺在中标后，提供至少3人到采购人指定地点进行至少3次相关设备操作、维护、管理培训，得0.5分；本项最高得1分。不承诺设备使用培训的，不得分。 电子磋商文件中附承诺函并加盖供应商电子签章，否则不予得分。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项目全生命周期成分分析</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供应商提供的以上业绩资料扫描件须按磋商文件编制要求全部编制在响应文件中并加盖供应商电子签章。评审时由磋商小组进行评审，否则一律不予认可。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石油化工学院山东省高校碳中和能源技术重点实验室2026年度设备采购项目响应报价低于全部通过符合性审查供应商响应报价平均值50%的，即山东石油化工学院山东省高校碳中和能源技术重点实验室2026年度设备采购项目响应报价&lt;全部通过符合性审查供应商响应报价平均值×50%。 （2）山东石油化工学院山东省高校碳中和能源技术重点实验室2026年度设备采购项目响应报价低于通过符合性审查且报价次低供应商响应报价50%的，即山东石油化工学院山东省高校碳中和能源技术重点实验室2026年度设备采购项目响应报价&lt;通过符合性审查且报价次低供应商响应报价×50%。 （3）山东石油化工学院山东省高校碳中和能源技术重点实验室2026年度设备采购项目响应报价低于最高限价45%的，即山东石油化工学院山东省高校碳中和能源技术重点实验室2026年度设备采购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分项报价明细表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采购人在评标办法中确定价格分值占总分值的比重（权重）为40%（即价格权值为40%）。本采购项目按照低价优先法计算报价得分，即满足磋商文件要求且磋商价格最低的磋商最后报价为磋商基准价，其价格分为满分。其他供应商的价格分值统一按照下列公式计算：磋商报价得分=（磋商基准价／磋商最后报价）×价格权值×100供应商磋商最后报价得分按“四舍五入”精确到小数点后两位。</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分项报价明细表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环境标志产品和节能产品评审加分</w:t>
            </w:r>
          </w:p>
        </w:tc>
        <w:tc>
          <w:tcPr>
            <w:tcW w:type="dxa" w:w="2575"/>
          </w:tcPr>
          <w:p>
            <w:pPr>
              <w:pStyle w:val="null5"/>
            </w:pPr>
            <w:r>
              <w:rPr>
                <w:rFonts w:ascii="仿宋_GB2312" w:hAnsi="仿宋_GB2312" w:cs="仿宋_GB2312" w:eastAsia="仿宋_GB2312"/>
              </w:rPr>
              <w:t>若响应的货物为品目清单内的节能或环境标志产品（不含品目清单强制采购范围产品），在其报价分值基础上分别根据节能或环境标志产品占最后总报价相应比例加分，计算公式如下： 报价部分加分=【（节能产品报价＋环境标志产品报价）/总报价】×价格评审总分值40×5%。 若响应的货物为品目清单内的节能或环境标志产品（不含品目清单强制采购范围产品），在其技术分值基础上分别根据节能或环境标志产品占最后总报价相应比例加分，计算公式如下： 技术部分加分=【（节能产品报价＋环境标志产品报价）/总报价】×技术评审总分值51×5%。</w:t>
            </w:r>
          </w:p>
        </w:tc>
        <w:tc>
          <w:tcPr>
            <w:tcW w:type="dxa" w:w="831"/>
          </w:tcPr>
          <w:p>
            <w:pPr>
              <w:pStyle w:val="null5"/>
              <w:jc w:val="center"/>
            </w:pPr>
            <w:r>
              <w:rPr>
                <w:rFonts w:ascii="仿宋_GB2312" w:hAnsi="仿宋_GB2312" w:cs="仿宋_GB2312" w:eastAsia="仿宋_GB2312"/>
              </w:rPr>
              <w:t>9.1000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节能环保政策</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根据《国务院办公厅关于在政府采购中实施本国产品标准及相关政策的通知》（国办发〔2025〕34号）的规定： （1）当采购项目或者采购包中为单一产品时：投标人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投标人为该采购项目或者采购包提供的符合本国产品标准的产品成本之和占该投标人提供的全部产品成本之和的比例达到80%以上且投标人其提供的本国产品出具符合要求的《关于符合本国产品标准的声明函》（格式详见附件）或财政部会同有关部门规定的有关证明文件的，依法对该投标人提供的全部产品给予价格评审优惠，即对该投标人提供的全部产品的总报价给予20%的价格扣除，用扣除后的价格参与评审。 注：（1）相关价格评审扣除优惠，均应该在供应商原始报价基础上计算。 （2）下列产品不适用本国产品标准：房屋和构筑物；文物、陈列品、图书、档案；特种动植物；农林牧渔初级产品；矿与矿物；电力、燃气、热力、水；食品、饮料及烟草原料；无形资产。 （3）仅有本国产品参与竞争的政府采购项目，不执行价格扣除。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石油化工学院山东省高校碳中和能源技术重点实验室2026年度设备采购项目响应报价低于全部通过符合性审查供应商响应报价平均值50%的，即山东石油化工学院山东省高校碳中和能源技术重点实验室2026年度设备采购项目响应报价&lt;全部通过符合性审查供应商响应报价平均值×50%。</w:t>
              <w:br/>
              <w:t>（2）山东石油化工学院山东省高校碳中和能源技术重点实验室2026年度设备采购项目响应报价低于通过符合性审查且报价次低供应商响应报价50%的，即山东石油化工学院山东省高校碳中和能源技术重点实验室2026年度设备采购项目响应报价&lt;通过符合性审查且报价次低供应商响应报价×50%。</w:t>
              <w:br/>
              <w:t>（3）山东石油化工学院山东省高校碳中和能源技术重点实验室2026年度设备采购项目响应报价低于最高限价45%的，即山东石油化工学院山东省高校碳中和能源技术重点实验室2026年度设备采购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教学仪器</w:t>
            </w:r>
          </w:p>
        </w:tc>
        <w:tc>
          <w:tcPr>
            <w:tcW w:type="dxa" w:w="3115"/>
          </w:tcPr>
          <w:p>
            <w:pPr>
              <w:pStyle w:val="null5"/>
              <w:jc w:val="left"/>
            </w:pPr>
            <w:r>
              <w:rPr>
                <w:rFonts w:ascii="仿宋_GB2312" w:hAnsi="仿宋_GB2312" w:cs="仿宋_GB2312" w:eastAsia="仿宋_GB2312"/>
              </w:rPr>
              <w:t>油品反应分析检测装置</w:t>
            </w:r>
          </w:p>
        </w:tc>
        <w:tc>
          <w:tcPr>
            <w:tcW w:type="dxa" w:w="2076"/>
          </w:tcPr>
          <w:p>
            <w:pPr>
              <w:pStyle w:val="null5"/>
              <w:jc w:val="left"/>
            </w:pPr>
            <w:r>
              <w:rPr>
                <w:rFonts w:ascii="仿宋_GB2312" w:hAnsi="仿宋_GB2312" w:cs="仿宋_GB2312" w:eastAsia="仿宋_GB2312"/>
              </w:rPr>
              <w:t>油品反应分析检测装置</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详见附件：产品技术性能及参数</w:t>
      </w:r>
    </w:p>
    <w:p>
      <w:pPr>
        <w:pStyle w:val="null5"/>
        <w:ind w:firstLine="960"/>
        <w:jc w:val="left"/>
      </w:pPr>
      <w:r>
        <w:rPr>
          <w:rFonts w:ascii="仿宋_GB2312" w:hAnsi="仿宋_GB2312" w:cs="仿宋_GB2312" w:eastAsia="仿宋_GB2312"/>
        </w:rPr>
        <w:t>详见附件：安装调试方案</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详见附件：节能环保政策</w:t>
      </w:r>
    </w:p>
    <w:p>
      <w:pPr>
        <w:pStyle w:val="null5"/>
        <w:ind w:firstLine="960"/>
        <w:jc w:val="left"/>
      </w:pPr>
      <w:r>
        <w:rPr>
          <w:rFonts w:ascii="仿宋_GB2312" w:hAnsi="仿宋_GB2312" w:cs="仿宋_GB2312" w:eastAsia="仿宋_GB2312"/>
        </w:rPr>
        <w:t>详见附件：供应商基本情况表</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详见附件：分项报价明细表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详见附件：24山东省政府采购合同范本、政府采购履约验收书参考样本.docx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