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山东石油化工学院地层孔隙热压生排烃模拟实验仪采购项目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SDGP370000000202602007228</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山东石油化工学院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山东宏祥工程项目管理有限公司</w:t>
      </w:r>
    </w:p>
    <w:p>
      <w:pPr>
        <w:pStyle w:val="null5"/>
        <w:jc w:val="center"/>
      </w:pPr>
      <w:r>
        <w:rPr>
          <w:rFonts w:ascii="仿宋_GB2312" w:hAnsi="仿宋_GB2312" w:cs="仿宋_GB2312" w:eastAsia="仿宋_GB2312"/>
        </w:rPr>
        <w:t>2026年08月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山东宏祥工程项目管理有限公司</w:t>
      </w:r>
      <w:r>
        <w:rPr>
          <w:rFonts w:ascii="仿宋_GB2312" w:hAnsi="仿宋_GB2312" w:cs="仿宋_GB2312" w:eastAsia="仿宋_GB2312"/>
        </w:rPr>
        <w:t xml:space="preserve"> （以下简称“代理机构”）受</w:t>
      </w:r>
      <w:r>
        <w:rPr>
          <w:rFonts w:ascii="仿宋_GB2312" w:hAnsi="仿宋_GB2312" w:cs="仿宋_GB2312" w:eastAsia="仿宋_GB2312"/>
        </w:rPr>
        <w:t>山东石油化工学院</w:t>
      </w:r>
      <w:r>
        <w:rPr>
          <w:rFonts w:ascii="仿宋_GB2312" w:hAnsi="仿宋_GB2312" w:cs="仿宋_GB2312" w:eastAsia="仿宋_GB2312"/>
        </w:rPr>
        <w:t xml:space="preserve"> （以下简称“采购人”）委托，对</w:t>
      </w:r>
      <w:r>
        <w:rPr>
          <w:rFonts w:ascii="仿宋_GB2312" w:hAnsi="仿宋_GB2312" w:cs="仿宋_GB2312" w:eastAsia="仿宋_GB2312"/>
        </w:rPr>
        <w:t>山东石油化工学院地层孔隙热压生排烃模拟实验仪采购项目</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SDGP370000000202602007228</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山东石油化工学院地层孔隙热压生排烃模拟实验仪采购项目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本项目为山东石油化工学院地层孔隙热压生排烃模拟实验仪采购。共分为1个包，具体采购内容及技术要求详见采购文件具体要求。</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具有独立承担民事责任的能力：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pPr>
        <w:pStyle w:val="null5"/>
        <w:jc w:val="left"/>
      </w:pPr>
      <w:r>
        <w:rPr>
          <w:rFonts w:ascii="仿宋_GB2312" w:hAnsi="仿宋_GB2312" w:cs="仿宋_GB2312" w:eastAsia="仿宋_GB2312"/>
        </w:rPr>
        <w:t>2、供应商具有良好的商业信誉和健全的财务会计制度：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pPr>
        <w:pStyle w:val="null5"/>
        <w:jc w:val="left"/>
      </w:pPr>
      <w:r>
        <w:rPr>
          <w:rFonts w:ascii="仿宋_GB2312" w:hAnsi="仿宋_GB2312" w:cs="仿宋_GB2312" w:eastAsia="仿宋_GB2312"/>
        </w:rPr>
        <w:t>3、供应商具有履行合同所必需的设备和专业技术能力：履行本项目合同所必需的设备和专业技术能力的证明。（提供原件扫描件或复印件加盖公章）</w:t>
      </w:r>
    </w:p>
    <w:p>
      <w:pPr>
        <w:pStyle w:val="null5"/>
        <w:jc w:val="left"/>
      </w:pPr>
      <w:r>
        <w:rPr>
          <w:rFonts w:ascii="仿宋_GB2312" w:hAnsi="仿宋_GB2312" w:cs="仿宋_GB2312" w:eastAsia="仿宋_GB2312"/>
        </w:rPr>
        <w:t>4、供应商具有依法缴纳税收和社会保障资金的良好记录：（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pPr>
        <w:pStyle w:val="null5"/>
        <w:jc w:val="left"/>
      </w:pPr>
      <w:r>
        <w:rPr>
          <w:rFonts w:ascii="仿宋_GB2312" w:hAnsi="仿宋_GB2312" w:cs="仿宋_GB2312" w:eastAsia="仿宋_GB2312"/>
        </w:rPr>
        <w:t>5、供应商参加政府采购活动前三年内，在经营活动中没有重大违法记录：参加本次政府采购活动前近三年内在经营活动中没有重大违法记录的书面声明函。（提供原件扫描件或复印件加盖公章）</w:t>
      </w:r>
    </w:p>
    <w:p>
      <w:pPr>
        <w:pStyle w:val="null5"/>
        <w:jc w:val="left"/>
      </w:pPr>
      <w:r>
        <w:rPr>
          <w:rFonts w:ascii="仿宋_GB2312" w:hAnsi="仿宋_GB2312" w:cs="仿宋_GB2312" w:eastAsia="仿宋_GB2312"/>
        </w:rPr>
        <w:t>6、供应商无不良信用记录：未被列入信用中国网站（www.creditchina.gov.cn）、中国政府采购网（www.ccgp.gov.cn）渠道信用记录失信被执行人、重大税收违法案件当事人名单、政府采购严重违法失信行为记录名单。本项由采购代理机构现场核查。</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属于专门面向中小企业采购，预留比例为100%。</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山东石油化工学院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东营市东营区北二路500号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 xml:space="preserve"> 257061</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山东石油化工学院</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0546-7396500</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山东宏祥工程项目管理有限公司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东营市东城府前大街76号（府前大街与莒州路交汇处西南角）南侧三层楼二楼</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257000</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朱旭东</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0546-8096655</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采购包1：770,000.00元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自响应文件提交截止之日起有效期为90日。响应文件未明确响应有效期或者少于前述规定天数的，其响应文件按无效响应处理。</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代理服务费收费标准：参照国家发展计划委员会计价格[2002]1980号文和国家发改委发改办价格[2003]857号文的规定下浮40%。</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本项目不涉及</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山东石油化工学院</w:t>
      </w:r>
      <w:r>
        <w:rPr>
          <w:rFonts w:ascii="仿宋_GB2312" w:hAnsi="仿宋_GB2312" w:cs="仿宋_GB2312" w:eastAsia="仿宋_GB2312"/>
        </w:rPr>
        <w:t xml:space="preserve"> 和 </w:t>
      </w:r>
      <w:r>
        <w:rPr>
          <w:rFonts w:ascii="仿宋_GB2312" w:hAnsi="仿宋_GB2312" w:cs="仿宋_GB2312" w:eastAsia="仿宋_GB2312"/>
        </w:rPr>
        <w:t>山东宏祥工程项目管理有限公司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山东石油化工学院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山东宏祥工程项目管理有限公司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供应商向采购⼈提交项⽬验收申请后，经采购⼈确认达到验收条件的，采购⼈按项⽬的相关规定启动项⽬验收。</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按照合同条款和项目需求，由采购人进行验收，参照《山东省政府采购履约验收管理办法》</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按照合同条款和项目需求，由采购人进行验收，参照《山东省政府采购履约验收管理办法》。</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山东石油化工学院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山东宏祥工程项目管理有限公司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山东宏祥工程项目管理有限公司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联系人：朱旭东</w:t>
      </w:r>
    </w:p>
    <w:p>
      <w:pPr>
        <w:pStyle w:val="null5"/>
        <w:jc w:val="left"/>
      </w:pPr>
      <w:r>
        <w:rPr>
          <w:rFonts w:ascii="仿宋_GB2312" w:hAnsi="仿宋_GB2312" w:cs="仿宋_GB2312" w:eastAsia="仿宋_GB2312"/>
        </w:rPr>
        <w:t>联系电话：0546-8096655</w:t>
      </w:r>
    </w:p>
    <w:p>
      <w:pPr>
        <w:pStyle w:val="null5"/>
        <w:jc w:val="left"/>
      </w:pPr>
      <w:r>
        <w:rPr>
          <w:rFonts w:ascii="仿宋_GB2312" w:hAnsi="仿宋_GB2312" w:cs="仿宋_GB2312" w:eastAsia="仿宋_GB2312"/>
        </w:rPr>
        <w:t>地址：东营市东城府前大街76号（府前大街与莒州路交汇处西南角）南侧三层楼二楼</w:t>
      </w:r>
    </w:p>
    <w:p>
      <w:pPr>
        <w:pStyle w:val="null5"/>
        <w:jc w:val="left"/>
      </w:pPr>
      <w:r>
        <w:rPr>
          <w:rFonts w:ascii="仿宋_GB2312" w:hAnsi="仿宋_GB2312" w:cs="仿宋_GB2312" w:eastAsia="仿宋_GB2312"/>
        </w:rPr>
        <w:t>邮编：257000</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770,000.00</w:t>
      </w:r>
    </w:p>
    <w:p>
      <w:pPr>
        <w:pStyle w:val="null5"/>
        <w:jc w:val="left"/>
      </w:pPr>
      <w:r>
        <w:rPr>
          <w:rFonts w:ascii="仿宋_GB2312" w:hAnsi="仿宋_GB2312" w:cs="仿宋_GB2312" w:eastAsia="仿宋_GB2312"/>
        </w:rPr>
        <w:t>采购包最高限价（元）: 770,000.00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地层孔隙热压生排烃模拟实验仪</w:t>
            </w:r>
          </w:p>
        </w:tc>
        <w:tc>
          <w:tcPr>
            <w:tcW w:type="dxa" w:w="923"/>
          </w:tcPr>
          <w:p>
            <w:pPr>
              <w:pStyle w:val="null5"/>
              <w:jc w:val="right"/>
            </w:pPr>
            <w:r>
              <w:rPr>
                <w:rFonts w:ascii="仿宋_GB2312" w:hAnsi="仿宋_GB2312" w:cs="仿宋_GB2312" w:eastAsia="仿宋_GB2312"/>
              </w:rPr>
              <w:t>1.00（台）</w:t>
            </w:r>
          </w:p>
        </w:tc>
        <w:tc>
          <w:tcPr>
            <w:tcW w:type="dxa" w:w="923"/>
          </w:tcPr>
          <w:p>
            <w:pPr>
              <w:pStyle w:val="null5"/>
              <w:jc w:val="right"/>
            </w:pPr>
            <w:r>
              <w:rPr>
                <w:rFonts w:ascii="仿宋_GB2312" w:hAnsi="仿宋_GB2312" w:cs="仿宋_GB2312" w:eastAsia="仿宋_GB2312"/>
              </w:rPr>
              <w:t>770,000.00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地层孔隙热压生排烃模拟实验仪</w:t>
            </w:r>
          </w:p>
        </w:tc>
        <w:tc>
          <w:tcPr>
            <w:tcW w:type="dxa" w:w="554"/>
          </w:tcPr>
          <w:p>
            <w:pPr>
              <w:pStyle w:val="null5"/>
              <w:jc w:val="left"/>
            </w:pPr>
            <w:r>
              <w:rPr>
                <w:rFonts w:ascii="仿宋_GB2312" w:hAnsi="仿宋_GB2312" w:cs="仿宋_GB2312" w:eastAsia="仿宋_GB2312"/>
              </w:rPr>
              <w:t>台</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770,000.00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地层孔隙热压生排烃模拟实验仪</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地层孔隙热压生排烃模拟实验仪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pPr>
              <w:pStyle w:val="null5"/>
              <w:jc w:val="right"/>
            </w:pPr>
            <w:r>
              <w:rPr>
                <w:rFonts w:ascii="仿宋_GB2312" w:hAnsi="仿宋_GB2312" w:cs="仿宋_GB2312" w:eastAsia="仿宋_GB2312"/>
              </w:rPr>
              <w:t>770,000.00</w:t>
            </w: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标的名称：地层孔隙热压生排烃模拟实验仪</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生烃热模拟反应釜材质：耐高温、高压及腐蚀合金材料；</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最高工作温度≥600℃；</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程序升温温度误差≤1℃；</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最高模拟静岩压力：≥150MPa；</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静岩压力控制精度：≤0.1%F.S；</w:t>
            </w:r>
          </w:p>
        </w:tc>
      </w:tr>
      <w:tr>
        <w:tc>
          <w:tcPr>
            <w:tcW w:type="dxa" w:w="2076"/>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最高模拟静水压力：≥120MPa；</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静水压力控制精度：≤0.1%F.S；</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可实现引出管线密封机构为自封式结构，压力越高，密封效果越强；</w:t>
            </w:r>
          </w:p>
        </w:tc>
      </w:tr>
      <w:tr>
        <w:tc>
          <w:tcPr>
            <w:tcW w:type="dxa" w:w="2076"/>
          </w:tcPr>
          <w:p>
            <w:pPr>
              <w:pStyle w:val="null5"/>
              <w:jc w:val="left"/>
            </w:pPr>
            <w:r>
              <w:rPr>
                <w:rFonts w:ascii="仿宋_GB2312" w:hAnsi="仿宋_GB2312" w:cs="仿宋_GB2312" w:eastAsia="仿宋_GB2312"/>
              </w:rPr>
              <w:t>9</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具备标准PID、AI人工智能调节APID或MPT等多种调节方式，具有自整定、自学习功能，无超调及无欠调的优良控制特性；</w:t>
            </w:r>
          </w:p>
        </w:tc>
      </w:tr>
      <w:tr>
        <w:tc>
          <w:tcPr>
            <w:tcW w:type="dxa" w:w="2076"/>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反应釜尺寸：φ30-50mm×300-500mm及φ50-150mm×400-500mm，数量各1只，可以实现大小反应釜同时工作，并可以进行分别排烃计量；</w:t>
            </w:r>
          </w:p>
        </w:tc>
      </w:tr>
      <w:tr>
        <w:tc>
          <w:tcPr>
            <w:tcW w:type="dxa" w:w="2076"/>
          </w:tcPr>
          <w:p>
            <w:pPr>
              <w:pStyle w:val="null5"/>
              <w:jc w:val="left"/>
            </w:pPr>
            <w:r>
              <w:rPr>
                <w:rFonts w:ascii="仿宋_GB2312" w:hAnsi="仿宋_GB2312" w:cs="仿宋_GB2312" w:eastAsia="仿宋_GB2312"/>
              </w:rPr>
              <w:t>11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釜体与加热系统要求设计分体式升降结构，可实现快速降温，降温速率≥20 ℃/min；</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静岩压力控制泵：可实现流体的连续无脉冲驱替，能恒速、恒压工作 控制系统：PLC自动控制，配RS232通讯接口；</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静水压力控制泵：可实现流体的连续无脉冲驱替，能恒速、恒压工作； 单缸容积：30-100ml； 流量范围：0.0001～10ml/min； 流速精度：±0.3%设定值</w:t>
            </w:r>
          </w:p>
        </w:tc>
      </w:tr>
      <w:tr>
        <w:tc>
          <w:tcPr>
            <w:tcW w:type="dxa" w:w="2076"/>
          </w:tcPr>
          <w:p>
            <w:pPr>
              <w:pStyle w:val="null5"/>
              <w:jc w:val="left"/>
            </w:pPr>
            <w:r>
              <w:rPr>
                <w:rFonts w:ascii="仿宋_GB2312" w:hAnsi="仿宋_GB2312" w:cs="仿宋_GB2312" w:eastAsia="仿宋_GB2312"/>
              </w:rPr>
              <w:t>14</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压力自动安全追踪：具备加卸载自动安全追踪功能，需具备安全预警，并配备有安全急停功能；</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真空系统：排气量≥2L/s，极限压力≤4×10-3Pa；</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具有压力显示、温度、流量显示、照明控制等功能；</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泵柜及安全防护箱：具有PC透明安全防护，恒速恒压泵、环压跟踪泵承重等功能；</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可实现全封闭高压模拟；</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可实现半封闭连续流模拟；</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可实现全开放模拟（连续流排出产物）；</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数字式排烃控制阀：最高耐压150MPa，工作、进口线圈、超常寿命、活塞结构、性能稳定响应速度≤2ms；</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压力量化压力加载，用于压力高精度控制；</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压力量化控制精度≤0.1MPa；</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具有高频采集：采集频率≥10Hz；</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样品仓制备囊系统：光纤激光器1064nm/1080nm，脉冲持续的时间0.1ms-20ms；</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每个釜体能单独自动冷凝分离气液产物，一键式自动计量和存储气体产量, 气体计量绝对误差优于1%。</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工作流程实时显示：实时曲线显示与历史曲线查询，数据可导出，可编程程序控制、多控制器同步联合控制；可自动采集数据并实时绘制出各种曲线；可实时计算出应力和应变数据，并且绘制出相应曲线，多曲线窗口切换；可通过数据采集数据实现岩石浸蚀效应评价，数据保存为*.txt格式、图片JPG格式等多种格式；数据自定义间隔导出，导出格式：文本、EXCEL等形式；</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安全保护措施：包含长期高热条件下模型隔热设计；</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安全运行要求：最高工作温度、最大压力联合作用条件下需满足正常测试使用时间≥36小时的测试时间；</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安全保护报警及急停：具有超温超压安全报警及急停功能。</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采购项目全生命周期成本要求</w:t>
            </w:r>
          </w:p>
        </w:tc>
        <w:tc>
          <w:tcPr>
            <w:tcW w:type="dxa" w:w="4153"/>
          </w:tcPr>
          <w:p>
            <w:pPr>
              <w:pStyle w:val="null5"/>
              <w:jc w:val="left"/>
            </w:pPr>
            <w:r>
              <w:rPr>
                <w:rFonts w:ascii="仿宋_GB2312" w:hAnsi="仿宋_GB2312" w:cs="仿宋_GB2312" w:eastAsia="仿宋_GB2312"/>
              </w:rPr>
              <w:t>本项目全生命周期成本管理坚持“造价可控、运维可持续”原则，全过程覆盖建设期、使用期、服务期，重点从专用耗材保障、后续技术服务两个维度进行规范化管控，确保项目长期稳定运行、成本透明可控，杜绝后期增量费用乱象。 1.专用耗材 由于该设备需在超高温、超高压以及复杂的环境下运行，相关专用耗材的稳定性直接关系到实验精度。 标准样品库耗材补给：鉴于高温高压实验极易受环境干扰、影响数据重复性，供应商需配合项目团队建立标准样品库，并承诺长期稳定提供用于定期比对测试的标准岩心或有机质样品。 高温高压流体介质相关消耗品：设备需实现流体性质的多参数动态耦合控制。供应商须明确在温度达600℃、压力达150MPa的实验条件下，流体介质（水、油、气）及高压液态水环境反应模块所需的专用高压密封件、特殊管线等更换消耗品的规格、寿命及供应方案。 2.后续服务 为保障全生命周期的科研与教学顺利推进，厂商须提供全方位的技术支持与本地化服务。 保期限与即时响应机制：选定厂商须提供至少3年的设备质保期。在质保期内，厂商必须严格执行7×24小时响应机制，确保实验教学与重大科研攻关不因设备故障而延误。 校内技术队伍培养与交接：为降低对外部技术服务的依赖，厂商在质保期内须负责协助培养1-2名校内维修工程师，使其具备日常运维、标准化调校及基础故障排除的能力。 全寿命周期运维成本控制：在设备15年的预期寿命中，质保期内主要零部件设备免费维护或更换，设备耗材和易损件负责免费更换。质保期后，年均维护成本需继续维持在约2万元的合理水平，项目团队将通过承担企业横向课题的收入实现运维费用的自平衡 。 3.价格锁定机制、期限及调整规则 为防止后期运维与技术升级成本失控，需在采购合同中固化以下价格约束机制。 基础维保价格锁定（质保期）：质保期内主要零部件免费维护或更换，设备耗材和易损件负责免费更换。在此期限内，无论市场人工或基础配件价格如何波动，厂商不得收取额外费用。 长期价格调整规则（质保期后）：质保期后，如遇市场通胀或核心部件更换，价格调整应遵循“基准协同增长控制”原则。所有维保费用调整须以年均2万元为基准线，且单次涨幅不得超过届时国家统计局发布的居民消费价格指数（CPI）或同类石油地质仪器行业平均涨幅，调整周期不得少于3年。 4.安装及配套物理条件保障说明 场地与空间保障：项目组已落实并预留了充足的实验场地，足以容纳本次拟采购的地层孔隙热压生排烃模拟实验仪。 公用工程与安全对接：安装场地配有达标的水电等基础配套设施，且周边无危险源干扰，完全具备设备到货后“即刻部署、立即安装”的物理条件 。 5.共享共用机制与多学科支撑承诺 大型仪器共享效率：设备在完成安装调试后，将正式纳入学校大型仪器共享平台统一管理，预计年均开机机时将超过2000小时。 服务辐射范围：设备除了满足本团队科研外，还将主动服务校内外2-3个科研团队，预计可将设备的单位运行成本分摊率提升30%。 多学科交叉支撑：该设备将不仅服务于石油天然气工程专业，还将作为物理化学、材料科学等专业的交叉研究平台，为其提供油田化学品开发等后续评价支撑，最大化释放设备资源红利。</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设备供货要求</w:t>
            </w:r>
          </w:p>
        </w:tc>
        <w:tc>
          <w:tcPr>
            <w:tcW w:type="dxa" w:w="4153"/>
          </w:tcPr>
          <w:p>
            <w:pPr>
              <w:pStyle w:val="null5"/>
              <w:jc w:val="left"/>
            </w:pPr>
            <w:r>
              <w:rPr>
                <w:rFonts w:ascii="仿宋_GB2312" w:hAnsi="仿宋_GB2312" w:cs="仿宋_GB2312" w:eastAsia="仿宋_GB2312"/>
              </w:rPr>
              <w:t>供应商必须严格按合同所规定的技术指标供货，货物符合规定名称、型号规格、数量或重量等。</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包装要求</w:t>
            </w:r>
          </w:p>
        </w:tc>
        <w:tc>
          <w:tcPr>
            <w:tcW w:type="dxa" w:w="4153"/>
          </w:tcPr>
          <w:p>
            <w:pPr>
              <w:pStyle w:val="null5"/>
              <w:jc w:val="left"/>
            </w:pPr>
            <w:r>
              <w:rPr>
                <w:rFonts w:ascii="仿宋_GB2312" w:hAnsi="仿宋_GB2312" w:cs="仿宋_GB2312" w:eastAsia="仿宋_GB2312"/>
              </w:rPr>
              <w:t>提供的全部货物须采用适当的保护措施进行包装并符合相应的包装标准。同时包装应适于长途运输，并有良好的防潮、防震、防锈和防野蛮装卸等保护措施，以确保货物安全运抵现场。</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质量保证</w:t>
            </w:r>
          </w:p>
        </w:tc>
        <w:tc>
          <w:tcPr>
            <w:tcW w:type="dxa" w:w="4153"/>
          </w:tcPr>
          <w:p>
            <w:pPr>
              <w:pStyle w:val="null5"/>
              <w:jc w:val="left"/>
            </w:pPr>
            <w:r>
              <w:rPr>
                <w:rFonts w:ascii="仿宋_GB2312" w:hAnsi="仿宋_GB2312" w:cs="仿宋_GB2312" w:eastAsia="仿宋_GB2312"/>
              </w:rPr>
              <w:t>货物是销售的全新、原产地、原包装、手续合法完整、渠道正规的产品，完全符合合同规定质量、规格和性能的要求。如发现货物有其它潜在缺陷及供应商使用了不符合标准要求或不符合投标书承诺的原材料、零部件、外购件，采购人有权退货或向供应商索赔。</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技术文件</w:t>
            </w:r>
          </w:p>
        </w:tc>
        <w:tc>
          <w:tcPr>
            <w:tcW w:type="dxa" w:w="4153"/>
          </w:tcPr>
          <w:p>
            <w:pPr>
              <w:pStyle w:val="null5"/>
              <w:jc w:val="left"/>
            </w:pPr>
            <w:r>
              <w:rPr>
                <w:rFonts w:ascii="仿宋_GB2312" w:hAnsi="仿宋_GB2312" w:cs="仿宋_GB2312" w:eastAsia="仿宋_GB2312"/>
              </w:rPr>
              <w:t>1.成交供应商应提供货物的备品备件手册、使用手册、安装使用指南、维护维修及保养说明书或服务手册； 2.货物的合格证、保修卡等； 3.设备的详细介绍资料； 4.提供生产厂家确认的证明材料（包括但不限于测试报告、官网和功能截图等）。</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设备安装调试要求</w:t>
            </w:r>
          </w:p>
        </w:tc>
        <w:tc>
          <w:tcPr>
            <w:tcW w:type="dxa" w:w="4153"/>
          </w:tcPr>
          <w:p>
            <w:pPr>
              <w:pStyle w:val="null5"/>
              <w:jc w:val="left"/>
            </w:pPr>
            <w:r>
              <w:rPr>
                <w:rFonts w:ascii="仿宋_GB2312" w:hAnsi="仿宋_GB2312" w:cs="仿宋_GB2312" w:eastAsia="仿宋_GB2312"/>
              </w:rPr>
              <w:t>1.供应商负责提供设备的运输、安装、调试、调换直至设备运行符合要求，产生的费用均由供应商承担。 2.在仪器安装调试验收过程中，供应商的安装工程师免费对用户操作人员进行基本培训，培训内容包括仪器结构介绍、操作软件使用、仪器操作使用、简单制样操作、智能附件及消耗品更换、日常保养及维护等。 3.安装场地对接：设备安装在主楼310实验室（25m2），供应商需确保设备的安装与调试过程符合现场水电达标、周边无危险源的安全条件。 系统功能调试要求，须对静岩压力、地层流体压力、围压及升温模式等进行调试，实现温度（室温至600℃）、压力（0-150MPa）、流体性质（水、油、气）及应力场的多参数耦合控制，确保高温高压环境下有机质热解反应模块及可控压差排烃系统运转正常。</w:t>
            </w:r>
          </w:p>
        </w:tc>
      </w:tr>
      <w:tr>
        <w:tc>
          <w:tcPr>
            <w:tcW w:type="dxa" w:w="1038"/>
          </w:tcPr>
          <w:p>
            <w:pPr>
              <w:pStyle w:val="null5"/>
              <w:jc w:val="left"/>
            </w:pPr>
            <w:r>
              <w:rPr>
                <w:rFonts w:ascii="仿宋_GB2312" w:hAnsi="仿宋_GB2312" w:cs="仿宋_GB2312" w:eastAsia="仿宋_GB2312"/>
              </w:rPr>
              <w:t>7</w:t>
            </w:r>
          </w:p>
        </w:tc>
        <w:tc>
          <w:tcPr>
            <w:tcW w:type="dxa" w:w="3115"/>
          </w:tcPr>
          <w:p>
            <w:pPr>
              <w:pStyle w:val="null5"/>
              <w:jc w:val="left"/>
            </w:pPr>
            <w:r>
              <w:rPr>
                <w:rFonts w:ascii="仿宋_GB2312" w:hAnsi="仿宋_GB2312" w:cs="仿宋_GB2312" w:eastAsia="仿宋_GB2312"/>
              </w:rPr>
              <w:t>售后服务标准与效率要求</w:t>
            </w:r>
          </w:p>
        </w:tc>
        <w:tc>
          <w:tcPr>
            <w:tcW w:type="dxa" w:w="4153"/>
          </w:tcPr>
          <w:p>
            <w:pPr>
              <w:pStyle w:val="null5"/>
              <w:jc w:val="left"/>
            </w:pPr>
            <w:r>
              <w:rPr>
                <w:rFonts w:ascii="仿宋_GB2312" w:hAnsi="仿宋_GB2312" w:cs="仿宋_GB2312" w:eastAsia="仿宋_GB2312"/>
              </w:rPr>
              <w:t>需要有明确的售后服务方案、培训方案、售后服务机构、人员、响应处理速度承诺等。售后响应机制：中标厂商须提供不少于3年的质保期，并承诺实行7×24小时即时响应机制，确保在发生设备故障时能够迅速响应并排除故障。校内技术力量培养：在质保期内，供应商须负责协助培养1-2名校内维修工程师，使其掌握日常运维、标准化标定及基础故障排除的能力，降低对外部技术服务的依赖。实验教学支撑培训：供应商在设备交付后，须对采购人教师及技术人员进行深度技术培训，确保该设备能顺利并入本科教学体系，支撑《石油与天然气地质》《油气地球化学》等课程的实践教学。</w:t>
            </w:r>
          </w:p>
        </w:tc>
      </w:tr>
      <w:tr>
        <w:tc>
          <w:tcPr>
            <w:tcW w:type="dxa" w:w="1038"/>
          </w:tcPr>
          <w:p>
            <w:pPr>
              <w:pStyle w:val="null5"/>
              <w:jc w:val="left"/>
            </w:pPr>
            <w:r>
              <w:rPr>
                <w:rFonts w:ascii="仿宋_GB2312" w:hAnsi="仿宋_GB2312" w:cs="仿宋_GB2312" w:eastAsia="仿宋_GB2312"/>
              </w:rPr>
              <w:t>8</w:t>
            </w:r>
          </w:p>
        </w:tc>
        <w:tc>
          <w:tcPr>
            <w:tcW w:type="dxa" w:w="3115"/>
          </w:tcPr>
          <w:p>
            <w:pPr>
              <w:pStyle w:val="null5"/>
              <w:jc w:val="left"/>
            </w:pPr>
            <w:r>
              <w:rPr>
                <w:rFonts w:ascii="仿宋_GB2312" w:hAnsi="仿宋_GB2312" w:cs="仿宋_GB2312" w:eastAsia="仿宋_GB2312"/>
              </w:rPr>
              <w:t>采购标的需执行的国家相关标准、行业标准、地方标准或者其他标准、规范</w:t>
            </w:r>
          </w:p>
        </w:tc>
        <w:tc>
          <w:tcPr>
            <w:tcW w:type="dxa" w:w="4153"/>
          </w:tcPr>
          <w:p>
            <w:pPr>
              <w:pStyle w:val="null5"/>
              <w:jc w:val="left"/>
            </w:pPr>
            <w:r>
              <w:rPr>
                <w:rFonts w:ascii="仿宋_GB2312" w:hAnsi="仿宋_GB2312" w:cs="仿宋_GB2312" w:eastAsia="仿宋_GB2312"/>
              </w:rPr>
              <w:t>1.国家强制标准要求 本采购设备工作条件涉及超高温（室温至600℃）及超高压（0-150MPa）环境，其压力容器、压力管道以及安全控制系统的设计、制造与装配，必须严格符合国家关于特种设备、超高压容器安全技术监察的强制性安全规范。 2.其它标准设备技术指标与功能须满足地质化学及烃源岩评价行业的测试标准规范，确保能够实现对不同类型烃源岩在不同温压条件下的生排烃特征、地质埋藏热演化过程的精准模拟。设备需满足在高压液态水环境下进行有机质热解反应测试，以及进行可控压差排烃模拟的行业标准。 3.供应商须具备良好的技术服务保障能力，且能够提供完善的售后保障方案。供应商须具备协助采购人进行专业技术交接、培养校内专业技术维护队伍的资质与能力。</w:t>
            </w:r>
          </w:p>
        </w:tc>
      </w:tr>
      <w:tr>
        <w:tc>
          <w:tcPr>
            <w:tcW w:type="dxa" w:w="1038"/>
          </w:tcPr>
          <w:p>
            <w:pPr>
              <w:pStyle w:val="null5"/>
              <w:jc w:val="left"/>
            </w:pPr>
            <w:r>
              <w:rPr>
                <w:rFonts w:ascii="仿宋_GB2312" w:hAnsi="仿宋_GB2312" w:cs="仿宋_GB2312" w:eastAsia="仿宋_GB2312"/>
              </w:rPr>
              <w:t>9</w:t>
            </w:r>
          </w:p>
        </w:tc>
        <w:tc>
          <w:tcPr>
            <w:tcW w:type="dxa" w:w="3115"/>
          </w:tcPr>
          <w:p>
            <w:pPr>
              <w:pStyle w:val="null5"/>
              <w:jc w:val="left"/>
            </w:pPr>
            <w:r>
              <w:rPr>
                <w:rFonts w:ascii="仿宋_GB2312" w:hAnsi="仿宋_GB2312" w:cs="仿宋_GB2312" w:eastAsia="仿宋_GB2312"/>
              </w:rPr>
              <w:t>其它要求</w:t>
            </w:r>
          </w:p>
        </w:tc>
        <w:tc>
          <w:tcPr>
            <w:tcW w:type="dxa" w:w="4153"/>
          </w:tcPr>
          <w:p>
            <w:pPr>
              <w:pStyle w:val="null5"/>
              <w:jc w:val="left"/>
            </w:pPr>
            <w:r>
              <w:rPr>
                <w:rFonts w:ascii="仿宋_GB2312" w:hAnsi="仿宋_GB2312" w:cs="仿宋_GB2312" w:eastAsia="仿宋_GB2312"/>
              </w:rPr>
              <w:t>1、本项目的成交供应商必须负责全部设备及产品的安装调试，直至达到良好的使用效果。 2、供应商必须书面承诺所供产品均为原厂正品，不得使用任何劣货、假货等产品。</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合同签订后60日内供应商应保证在要求时间内完成全部货物的供货、安装、调试和培训工作，符合国家标准、行业规范和合同等相关文件的要求。</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山东石油化工学院院内</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合同支付方式：供应商按合同要求供货，设备安装调试完成、验收合格无质量问题及其他争议，采购人收到供应商发票后付至合同金额的95%，一年后无息付清余款。</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质量保证期：本项目免费质量保证期要求不低于3年，供应商亦可提报更⻓的质保期。本项目产品的质量质保期为自验收通过之日起，所有产品均需在质保期内免费上门。</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合同履行期限：自本项目签订合同之日起至质保期结束。</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1、本项目共两轮报价，第一轮为磋商前基础报价，第二轮报价为磋商后最终报价。 磋商小组与供应商分别进行磋商完成后，通过评标系统向实质性响应的供应商发起最终报价要求，要求所有供应商在规定时间（60分钟）内进行最终报价，提交最终报价的供应商不得少于3家（若供应商未在规定时间（60分钟）内提交最终报价，视为退出磋商）。 2、投标截止时间后，成功提交响应文件的供应商符合磋商文件规定数量的，代理机构将启动响应文件解密程序，解密时间为60分钟；供应商应在规定的解密时间内，使用加密响应文件的数字证书进行响应文件解密。除因平台系统故障导致供应商未按时完成解密外，供应商未在规定的解密时间内完成解密的，按无效投标处理。 3、报价相关要求：本项⽬报价为含税全包价，包含完成全部供货所需全部成本，采购⼈不再另⾏⽀付其他费⽤；供应商仅能提供⼀套固定报价，不得设置多套备选报价；评审中报价经修正的，供应商须按要求电⼦签章确认，逾期未确认按⽆效响应处理；报价应客观合理，触发异常低价审查时须提供成本相关佐证材料，⽆法说明合理性的作⽆效响应处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sz w:val="21"/>
        </w:rPr>
        <w:t>详见第三章</w:t>
      </w:r>
      <w:r>
        <w:rPr>
          <w:rFonts w:ascii="仿宋_GB2312" w:hAnsi="仿宋_GB2312" w:cs="仿宋_GB2312" w:eastAsia="仿宋_GB2312"/>
          <w:sz w:val="21"/>
        </w:rPr>
        <w:t>“技术、服务及其他要求”中“3.2.技术要求”，“3.3.服务要求 ”非带“★”实质性要求。</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21"/>
        </w:rPr>
        <w:t>详见第七章</w:t>
      </w:r>
      <w:r>
        <w:rPr>
          <w:rFonts w:ascii="仿宋_GB2312" w:hAnsi="仿宋_GB2312" w:cs="仿宋_GB2312" w:eastAsia="仿宋_GB2312"/>
          <w:sz w:val="21"/>
        </w:rPr>
        <w:t>“拟签订采购合同文本”。</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供应商具有独立承担民事责任的能力</w:t>
            </w:r>
          </w:p>
        </w:tc>
        <w:tc>
          <w:tcPr>
            <w:tcW w:type="dxa" w:w="3322"/>
          </w:tcPr>
          <w:p>
            <w:pPr>
              <w:pStyle w:val="null5"/>
              <w:jc w:val="left"/>
            </w:pPr>
            <w:r>
              <w:rPr>
                <w:rFonts w:ascii="仿宋_GB2312" w:hAnsi="仿宋_GB2312" w:cs="仿宋_GB2312" w:eastAsia="仿宋_GB2312"/>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供应商具有良好的商业信誉和健全的财务会计制度</w:t>
            </w:r>
          </w:p>
        </w:tc>
        <w:tc>
          <w:tcPr>
            <w:tcW w:type="dxa" w:w="3322"/>
          </w:tcPr>
          <w:p>
            <w:pPr>
              <w:pStyle w:val="null5"/>
              <w:jc w:val="left"/>
            </w:pPr>
            <w:r>
              <w:rPr>
                <w:rFonts w:ascii="仿宋_GB2312" w:hAnsi="仿宋_GB2312" w:cs="仿宋_GB2312" w:eastAsia="仿宋_GB2312"/>
              </w:rPr>
              <w:t>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供应商具有履行合同所必需的设备和专业技术能力</w:t>
            </w:r>
          </w:p>
        </w:tc>
        <w:tc>
          <w:tcPr>
            <w:tcW w:type="dxa" w:w="3322"/>
          </w:tcPr>
          <w:p>
            <w:pPr>
              <w:pStyle w:val="null5"/>
              <w:jc w:val="left"/>
            </w:pPr>
            <w:r>
              <w:rPr>
                <w:rFonts w:ascii="仿宋_GB2312" w:hAnsi="仿宋_GB2312" w:cs="仿宋_GB2312" w:eastAsia="仿宋_GB2312"/>
              </w:rPr>
              <w:t>履行本项目合同所必需的设备和专业技术能力的证明。（提供原件扫描件或复印件加盖公章）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供应商具有依法缴纳税收和社会保障资金的良好记录</w:t>
            </w:r>
          </w:p>
        </w:tc>
        <w:tc>
          <w:tcPr>
            <w:tcW w:type="dxa" w:w="3322"/>
          </w:tcPr>
          <w:p>
            <w:pPr>
              <w:pStyle w:val="null5"/>
              <w:jc w:val="left"/>
            </w:pPr>
            <w:r>
              <w:rPr>
                <w:rFonts w:ascii="仿宋_GB2312" w:hAnsi="仿宋_GB2312" w:cs="仿宋_GB2312" w:eastAsia="仿宋_GB2312"/>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参加本次政府采购活动前近三年内在经营活动中没有重大违法记录的书面声明函。（提供原件扫描件或复印件加盖公章）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未被列入信用中国网站（www.creditchina.gov.cn）、中国政府采购网（www.ccgp.gov.cn）渠道信用记录失信被执行人、重大税收违法案件当事人名单、政府采购严重违法失信行为记录名单。本项由采购代理机构现场核查。</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本采购包属于专门面向中小企业采购。</w:t>
            </w:r>
          </w:p>
        </w:tc>
        <w:tc>
          <w:tcPr>
            <w:tcW w:type="dxa" w:w="3322"/>
          </w:tcPr>
          <w:p>
            <w:pPr>
              <w:pStyle w:val="null5"/>
              <w:jc w:val="left"/>
            </w:pPr>
            <w:r>
              <w:rPr>
                <w:rFonts w:ascii="仿宋_GB2312" w:hAnsi="仿宋_GB2312" w:cs="仿宋_GB2312" w:eastAsia="仿宋_GB2312"/>
              </w:rPr>
              <w:t>本采购包为专门面向中小企业采购，供应商须提供中小企业声明函或监狱企业的证明文件或残疾人福利性单位声明函。监狱企业、残疾人福利性单位视同小型、微型企业。</w:t>
            </w:r>
          </w:p>
        </w:tc>
        <w:tc>
          <w:tcPr>
            <w:tcW w:type="dxa" w:w="1661"/>
          </w:tcPr>
          <w:p>
            <w:pPr>
              <w:pStyle w:val="null5"/>
              <w:jc w:val="left"/>
            </w:pPr>
            <w:r>
              <w:rPr>
                <w:rFonts w:ascii="仿宋_GB2312" w:hAnsi="仿宋_GB2312" w:cs="仿宋_GB2312" w:eastAsia="仿宋_GB2312"/>
              </w:rPr>
              <w:t>中小企业声明函、监狱企业证明函、残疾人福利性单位声明函</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是否按竞争性磋商文件规定要求签署、盖章</w:t>
            </w:r>
          </w:p>
        </w:tc>
        <w:tc>
          <w:tcPr>
            <w:tcW w:type="dxa" w:w="3322"/>
          </w:tcPr>
          <w:p>
            <w:pPr>
              <w:pStyle w:val="null5"/>
              <w:jc w:val="left"/>
            </w:pPr>
            <w:r>
              <w:rPr>
                <w:rFonts w:ascii="仿宋_GB2312" w:hAnsi="仿宋_GB2312" w:cs="仿宋_GB2312" w:eastAsia="仿宋_GB2312"/>
              </w:rPr>
              <w:t>按竞争性磋商文件规定要求签署、盖章</w:t>
            </w:r>
          </w:p>
        </w:tc>
        <w:tc>
          <w:tcPr>
            <w:tcW w:type="dxa" w:w="1661"/>
          </w:tcPr>
          <w:p>
            <w:pPr>
              <w:pStyle w:val="null5"/>
              <w:jc w:val="left"/>
            </w:pPr>
            <w:r>
              <w:rPr>
                <w:rFonts w:ascii="仿宋_GB2312" w:hAnsi="仿宋_GB2312" w:cs="仿宋_GB2312" w:eastAsia="仿宋_GB2312"/>
              </w:rPr>
              <w:t>封面、响应函、企业基本概况</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是否按规定提供强制节能产品</w:t>
            </w:r>
          </w:p>
        </w:tc>
        <w:tc>
          <w:tcPr>
            <w:tcW w:type="dxa" w:w="3322"/>
          </w:tcPr>
          <w:p>
            <w:pPr>
              <w:pStyle w:val="null5"/>
              <w:jc w:val="left"/>
            </w:pPr>
            <w:r>
              <w:rPr>
                <w:rFonts w:ascii="仿宋_GB2312" w:hAnsi="仿宋_GB2312" w:cs="仿宋_GB2312" w:eastAsia="仿宋_GB2312"/>
              </w:rPr>
              <w:t>按文件规定提供强制节能产品（如有）</w:t>
            </w:r>
          </w:p>
        </w:tc>
        <w:tc>
          <w:tcPr>
            <w:tcW w:type="dxa" w:w="1661"/>
          </w:tcPr>
          <w:p>
            <w:pPr>
              <w:pStyle w:val="null5"/>
              <w:jc w:val="left"/>
            </w:pPr>
            <w:r>
              <w:rPr>
                <w:rFonts w:ascii="仿宋_GB2312" w:hAnsi="仿宋_GB2312" w:cs="仿宋_GB2312" w:eastAsia="仿宋_GB2312"/>
              </w:rPr>
              <w:t>节能环保政策</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带“★”号部分任意一款是否满足要求</w:t>
            </w:r>
          </w:p>
        </w:tc>
        <w:tc>
          <w:tcPr>
            <w:tcW w:type="dxa" w:w="3322"/>
          </w:tcPr>
          <w:p>
            <w:pPr>
              <w:pStyle w:val="null5"/>
              <w:jc w:val="left"/>
            </w:pPr>
            <w:r>
              <w:rPr>
                <w:rFonts w:ascii="仿宋_GB2312" w:hAnsi="仿宋_GB2312" w:cs="仿宋_GB2312" w:eastAsia="仿宋_GB2312"/>
              </w:rPr>
              <w:t>带“★”号部分任意一款满足要求</w:t>
            </w:r>
          </w:p>
        </w:tc>
        <w:tc>
          <w:tcPr>
            <w:tcW w:type="dxa" w:w="1661"/>
          </w:tcPr>
          <w:p>
            <w:pPr>
              <w:pStyle w:val="null5"/>
              <w:jc w:val="left"/>
            </w:pPr>
            <w:r>
              <w:rPr>
                <w:rFonts w:ascii="仿宋_GB2312" w:hAnsi="仿宋_GB2312" w:cs="仿宋_GB2312" w:eastAsia="仿宋_GB2312"/>
              </w:rPr>
              <w:t>技术偏离表、商务偏离表</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报价有效期是否满足磋商文件要求</w:t>
            </w:r>
          </w:p>
        </w:tc>
        <w:tc>
          <w:tcPr>
            <w:tcW w:type="dxa" w:w="3322"/>
          </w:tcPr>
          <w:p>
            <w:pPr>
              <w:pStyle w:val="null5"/>
              <w:jc w:val="left"/>
            </w:pPr>
            <w:r>
              <w:rPr>
                <w:rFonts w:ascii="仿宋_GB2312" w:hAnsi="仿宋_GB2312" w:cs="仿宋_GB2312" w:eastAsia="仿宋_GB2312"/>
              </w:rPr>
              <w:t>报价有效期满足磋商文件要求</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报价是否超过磋商文件中规定的预算金额或者最高限价的</w:t>
            </w:r>
          </w:p>
        </w:tc>
        <w:tc>
          <w:tcPr>
            <w:tcW w:type="dxa" w:w="3322"/>
          </w:tcPr>
          <w:p>
            <w:pPr>
              <w:pStyle w:val="null5"/>
              <w:jc w:val="left"/>
            </w:pPr>
            <w:r>
              <w:rPr>
                <w:rFonts w:ascii="仿宋_GB2312" w:hAnsi="仿宋_GB2312" w:cs="仿宋_GB2312" w:eastAsia="仿宋_GB2312"/>
              </w:rPr>
              <w:t>报价未超过磋商文件中规定的预算金额或者最高限价的</w:t>
            </w:r>
          </w:p>
        </w:tc>
        <w:tc>
          <w:tcPr>
            <w:tcW w:type="dxa" w:w="1661"/>
          </w:tcPr>
          <w:p>
            <w:pPr>
              <w:pStyle w:val="null5"/>
              <w:jc w:val="left"/>
            </w:pPr>
            <w:r>
              <w:rPr>
                <w:rFonts w:ascii="仿宋_GB2312" w:hAnsi="仿宋_GB2312" w:cs="仿宋_GB2312" w:eastAsia="仿宋_GB2312"/>
              </w:rPr>
              <w:t>开标（报价）一览表</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是否按照磋商文件规定报价、是否存在拒绝报价、多个报价、选择性报价、附有条件的报价或者拒绝修正报价的</w:t>
            </w:r>
          </w:p>
        </w:tc>
        <w:tc>
          <w:tcPr>
            <w:tcW w:type="dxa" w:w="3322"/>
          </w:tcPr>
          <w:p>
            <w:pPr>
              <w:pStyle w:val="null5"/>
              <w:jc w:val="left"/>
            </w:pPr>
            <w:r>
              <w:rPr>
                <w:rFonts w:ascii="仿宋_GB2312" w:hAnsi="仿宋_GB2312" w:cs="仿宋_GB2312" w:eastAsia="仿宋_GB2312"/>
              </w:rPr>
              <w:t>按照磋商文件规定报价、不存在拒绝报价、多个报价、选择性报价、附有条件的报价或者拒绝修正报价的</w:t>
            </w:r>
          </w:p>
        </w:tc>
        <w:tc>
          <w:tcPr>
            <w:tcW w:type="dxa" w:w="1661"/>
          </w:tcPr>
          <w:p>
            <w:pPr>
              <w:pStyle w:val="null5"/>
              <w:jc w:val="left"/>
            </w:pPr>
            <w:r>
              <w:rPr>
                <w:rFonts w:ascii="仿宋_GB2312" w:hAnsi="仿宋_GB2312" w:cs="仿宋_GB2312" w:eastAsia="仿宋_GB2312"/>
              </w:rPr>
              <w:t>开标（报价）一览表、投标（响应）报价明细表</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响应函、不参与串通投标承诺书、法定代表人身份证明、法定代表人授权委托书（委托代理人的须提供）、投标（响应）报价明细表、开标（报价）一览表、商务偏离表、技术偏离表、产品均为原厂正品承诺函</w:t>
            </w:r>
          </w:p>
        </w:tc>
        <w:tc>
          <w:tcPr>
            <w:tcW w:type="dxa" w:w="1661"/>
          </w:tcPr>
          <w:p>
            <w:pPr>
              <w:pStyle w:val="null5"/>
              <w:jc w:val="left"/>
            </w:pPr>
            <w:r>
              <w:rPr>
                <w:rFonts w:ascii="仿宋_GB2312" w:hAnsi="仿宋_GB2312" w:cs="仿宋_GB2312" w:eastAsia="仿宋_GB2312"/>
              </w:rPr>
              <w:t>技术偏离表、投标（响应）报价明细表、开标（报价）一览表、商务偏离表、产品均为原厂正品承诺函、响应函、不参与串通投标承诺书、法定代表人身份证明、法定代表人授权委托书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是否属于串通投标，或者依法被视为串通投标</w:t>
            </w:r>
          </w:p>
        </w:tc>
        <w:tc>
          <w:tcPr>
            <w:tcW w:type="dxa" w:w="3322"/>
          </w:tcPr>
          <w:p>
            <w:pPr>
              <w:pStyle w:val="null5"/>
              <w:jc w:val="left"/>
            </w:pPr>
            <w:r>
              <w:rPr>
                <w:rFonts w:ascii="仿宋_GB2312" w:hAnsi="仿宋_GB2312" w:cs="仿宋_GB2312" w:eastAsia="仿宋_GB2312"/>
              </w:rPr>
              <w:t>不属于串通投标，或者依法被视为串通投标</w:t>
            </w:r>
          </w:p>
        </w:tc>
        <w:tc>
          <w:tcPr>
            <w:tcW w:type="dxa" w:w="1661"/>
          </w:tcPr>
          <w:p>
            <w:pPr>
              <w:pStyle w:val="null5"/>
              <w:jc w:val="left"/>
            </w:pPr>
            <w:r>
              <w:rPr>
                <w:rFonts w:ascii="仿宋_GB2312" w:hAnsi="仿宋_GB2312" w:cs="仿宋_GB2312" w:eastAsia="仿宋_GB2312"/>
              </w:rPr>
              <w:t>不参与串通投标承诺书</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⽆认定为“投标（响应）⽆效”的其他情形</w:t>
            </w:r>
          </w:p>
        </w:tc>
        <w:tc>
          <w:tcPr>
            <w:tcW w:type="dxa" w:w="3322"/>
          </w:tcPr>
          <w:p>
            <w:pPr>
              <w:pStyle w:val="null5"/>
              <w:jc w:val="left"/>
            </w:pPr>
            <w:r>
              <w:rPr>
                <w:rFonts w:ascii="仿宋_GB2312" w:hAnsi="仿宋_GB2312" w:cs="仿宋_GB2312" w:eastAsia="仿宋_GB2312"/>
              </w:rPr>
              <w:t>⽆认定为“投标（响应）⽆效”的其他情形</w:t>
            </w:r>
          </w:p>
        </w:tc>
        <w:tc>
          <w:tcPr>
            <w:tcW w:type="dxa" w:w="1661"/>
          </w:tcPr>
          <w:p>
            <w:pPr>
              <w:pStyle w:val="null5"/>
              <w:jc w:val="left"/>
            </w:pPr>
            <w:r>
              <w:rPr>
                <w:rFonts w:ascii="仿宋_GB2312" w:hAnsi="仿宋_GB2312" w:cs="仿宋_GB2312" w:eastAsia="仿宋_GB2312"/>
              </w:rPr>
              <w:t>资格证明文件、技术偏离表、商务偏离表、中小企业声明函、监狱企业证明函、残疾人福利性单位声明函、不参与串通投标承诺书</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政府采购异常低价审查</w:t>
            </w:r>
          </w:p>
        </w:tc>
        <w:tc>
          <w:tcPr>
            <w:tcW w:type="dxa" w:w="3322"/>
          </w:tcPr>
          <w:p>
            <w:pPr>
              <w:pStyle w:val="null5"/>
              <w:jc w:val="left"/>
            </w:pPr>
            <w:r>
              <w:rPr>
                <w:rFonts w:ascii="仿宋_GB2312" w:hAnsi="仿宋_GB2312" w:cs="仿宋_GB2312" w:eastAsia="仿宋_GB2312"/>
              </w:rPr>
              <w:t>启动异常低价投标审查后，供应商不能提供书面说明、证明材料，或者提供的书面说明、证明材料不能证明其报价合理性的</w:t>
            </w:r>
          </w:p>
        </w:tc>
        <w:tc>
          <w:tcPr>
            <w:tcW w:type="dxa" w:w="1661"/>
          </w:tcPr>
          <w:p>
            <w:pPr>
              <w:pStyle w:val="null5"/>
              <w:jc w:val="left"/>
            </w:pPr>
            <w:r>
              <w:rPr>
                <w:rFonts w:ascii="仿宋_GB2312" w:hAnsi="仿宋_GB2312" w:cs="仿宋_GB2312" w:eastAsia="仿宋_GB2312"/>
              </w:rPr>
              <w:t>开标（报价）一览表、投标（响应）报价明细表</w:t>
            </w:r>
          </w:p>
        </w:tc>
      </w:tr>
      <w:tr>
        <w:tc>
          <w:tcPr>
            <w:tcW w:type="dxa" w:w="831"/>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响应文件是否含有采购人不能接受的附加条件的</w:t>
            </w:r>
          </w:p>
        </w:tc>
        <w:tc>
          <w:tcPr>
            <w:tcW w:type="dxa" w:w="3322"/>
          </w:tcPr>
          <w:p>
            <w:pPr>
              <w:pStyle w:val="null5"/>
              <w:jc w:val="left"/>
            </w:pPr>
            <w:r>
              <w:rPr>
                <w:rFonts w:ascii="仿宋_GB2312" w:hAnsi="仿宋_GB2312" w:cs="仿宋_GB2312" w:eastAsia="仿宋_GB2312"/>
              </w:rPr>
              <w:t>响应文件不含有采购人不能接受的附加条件的</w:t>
            </w:r>
          </w:p>
        </w:tc>
        <w:tc>
          <w:tcPr>
            <w:tcW w:type="dxa" w:w="1661"/>
          </w:tcPr>
          <w:p>
            <w:pPr>
              <w:pStyle w:val="null5"/>
              <w:jc w:val="left"/>
            </w:pPr>
            <w:r>
              <w:rPr>
                <w:rFonts w:ascii="仿宋_GB2312" w:hAnsi="仿宋_GB2312" w:cs="仿宋_GB2312" w:eastAsia="仿宋_GB2312"/>
              </w:rPr>
              <w:t>供应商认为需要提交的其他文件、响应函</w:t>
            </w:r>
          </w:p>
        </w:tc>
      </w:tr>
      <w:tr>
        <w:tc>
          <w:tcPr>
            <w:tcW w:type="dxa" w:w="831"/>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符合采购⽂件及法律、法规规定的其他情形</w:t>
            </w:r>
          </w:p>
        </w:tc>
        <w:tc>
          <w:tcPr>
            <w:tcW w:type="dxa" w:w="3322"/>
          </w:tcPr>
          <w:p>
            <w:pPr>
              <w:pStyle w:val="null5"/>
              <w:jc w:val="left"/>
            </w:pPr>
            <w:r>
              <w:rPr>
                <w:rFonts w:ascii="仿宋_GB2312" w:hAnsi="仿宋_GB2312" w:cs="仿宋_GB2312" w:eastAsia="仿宋_GB2312"/>
              </w:rPr>
              <w:t>符合采购⽂件及法律、法规规定的其他情形</w:t>
            </w:r>
          </w:p>
        </w:tc>
        <w:tc>
          <w:tcPr>
            <w:tcW w:type="dxa" w:w="1661"/>
          </w:tcPr>
          <w:p>
            <w:pPr>
              <w:pStyle w:val="null5"/>
              <w:jc w:val="left"/>
            </w:pPr>
            <w:r>
              <w:rPr>
                <w:rFonts w:ascii="仿宋_GB2312" w:hAnsi="仿宋_GB2312" w:cs="仿宋_GB2312" w:eastAsia="仿宋_GB2312"/>
              </w:rPr>
              <w:t>封面、响应函</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技术部分50.00分</w:t>
            </w:r>
          </w:p>
          <w:p>
            <w:pPr>
              <w:pStyle w:val="null5"/>
            </w:pPr>
            <w:r>
              <w:rPr>
                <w:rFonts w:ascii="仿宋_GB2312" w:hAnsi="仿宋_GB2312" w:cs="仿宋_GB2312" w:eastAsia="仿宋_GB2312"/>
              </w:rPr>
              <w:t>商务部分10.00分</w:t>
            </w:r>
          </w:p>
          <w:p>
            <w:pPr>
              <w:pStyle w:val="null5"/>
            </w:pPr>
            <w:r>
              <w:rPr>
                <w:rFonts w:ascii="仿宋_GB2312" w:hAnsi="仿宋_GB2312" w:cs="仿宋_GB2312" w:eastAsia="仿宋_GB2312"/>
              </w:rPr>
              <w:t>报价得分40.00分</w:t>
            </w:r>
          </w:p>
          <w:p>
            <w:pPr>
              <w:pStyle w:val="null5"/>
            </w:pPr>
            <w:r>
              <w:rPr>
                <w:rFonts w:ascii="仿宋_GB2312" w:hAnsi="仿宋_GB2312" w:cs="仿宋_GB2312" w:eastAsia="仿宋_GB2312"/>
              </w:rPr>
              <w:t>附加分9.00分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产品技术性能及参数</w:t>
            </w:r>
          </w:p>
        </w:tc>
        <w:tc>
          <w:tcPr>
            <w:tcW w:type="dxa" w:w="2575"/>
          </w:tcPr>
          <w:p>
            <w:pPr>
              <w:pStyle w:val="null5"/>
            </w:pPr>
            <w:r>
              <w:rPr>
                <w:rFonts w:ascii="仿宋_GB2312" w:hAnsi="仿宋_GB2312" w:cs="仿宋_GB2312" w:eastAsia="仿宋_GB2312"/>
              </w:rPr>
              <w:t>技术指标响应：根据供应商所报产品的技术标准与参数配置对磋商要求的响应程度以及技术指标的偏离情况进行评审，所报产品的所有参数配置与技术指标无偏离或正偏离得基准分15分；非实质性技术参数中，重要技术参数（带▲号项）每有一项有负偏离的情况，在评审基准分的基础上减1分；其他技术参数（不带▲号项），每有一项有负偏离的情况，在评审基准分的基础上减0.5分，减至0分为止；无此项内容不得分。 注：①技术参数具体偏离情况将以技术偏离表为准，若供应商未填偏离表，或未明确标注偏离情况（无偏离、正偏离、负偏离）的，视为负偏离。 ②具体偏离项须在偏离表中逐条列明，须标明在技术说明中对应页码并以醒目方式标注。 ③带▲号项提供相应功能证明材料（包括但不限于测试报告、官网和功能截图等）。</w:t>
            </w:r>
          </w:p>
        </w:tc>
        <w:tc>
          <w:tcPr>
            <w:tcW w:type="dxa" w:w="831"/>
          </w:tcPr>
          <w:p>
            <w:pPr>
              <w:pStyle w:val="null5"/>
              <w:jc w:val="center"/>
            </w:pPr>
            <w:r>
              <w:rPr>
                <w:rFonts w:ascii="仿宋_GB2312" w:hAnsi="仿宋_GB2312" w:cs="仿宋_GB2312" w:eastAsia="仿宋_GB2312"/>
              </w:rPr>
              <w:t>15.0000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货物清单（包括产品彩页等）</w:t>
            </w:r>
          </w:p>
        </w:tc>
      </w:tr>
      <w:tr>
        <w:tc>
          <w:tcPr>
            <w:tcW w:type="dxa" w:w="831"/>
            <w:vMerge/>
          </w:tcPr>
          <w:p/>
        </w:tc>
        <w:tc>
          <w:tcPr>
            <w:tcW w:type="dxa" w:w="1661"/>
          </w:tcPr>
          <w:p>
            <w:pPr>
              <w:pStyle w:val="null5"/>
            </w:pPr>
            <w:r>
              <w:rPr>
                <w:rFonts w:ascii="仿宋_GB2312" w:hAnsi="仿宋_GB2312" w:cs="仿宋_GB2312" w:eastAsia="仿宋_GB2312"/>
              </w:rPr>
              <w:t>供货方案、产品安装和调试方案</w:t>
            </w:r>
          </w:p>
        </w:tc>
        <w:tc>
          <w:tcPr>
            <w:tcW w:type="dxa" w:w="2575"/>
          </w:tcPr>
          <w:p>
            <w:pPr>
              <w:pStyle w:val="null5"/>
            </w:pPr>
            <w:r>
              <w:rPr>
                <w:rFonts w:ascii="仿宋_GB2312" w:hAnsi="仿宋_GB2312" w:cs="仿宋_GB2312" w:eastAsia="仿宋_GB2312"/>
              </w:rPr>
              <w:t>磋商小组成员根据方案响应情况进行综合评审，酌情打分，本项满分7分。存在瑕疵或不足的以0.5分为单位进行扣减，扣完为止；无此项内容不得分。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供货方案、产品安装和调试方案</w:t>
            </w:r>
          </w:p>
        </w:tc>
      </w:tr>
      <w:tr>
        <w:tc>
          <w:tcPr>
            <w:tcW w:type="dxa" w:w="831"/>
            <w:vMerge/>
          </w:tcPr>
          <w:p/>
        </w:tc>
        <w:tc>
          <w:tcPr>
            <w:tcW w:type="dxa" w:w="1661"/>
          </w:tcPr>
          <w:p>
            <w:pPr>
              <w:pStyle w:val="null5"/>
            </w:pPr>
            <w:r>
              <w:rPr>
                <w:rFonts w:ascii="仿宋_GB2312" w:hAnsi="仿宋_GB2312" w:cs="仿宋_GB2312" w:eastAsia="仿宋_GB2312"/>
              </w:rPr>
              <w:t>质量管理措施</w:t>
            </w:r>
          </w:p>
        </w:tc>
        <w:tc>
          <w:tcPr>
            <w:tcW w:type="dxa" w:w="2575"/>
          </w:tcPr>
          <w:p>
            <w:pPr>
              <w:pStyle w:val="null5"/>
            </w:pPr>
            <w:r>
              <w:rPr>
                <w:rFonts w:ascii="仿宋_GB2312" w:hAnsi="仿宋_GB2312" w:cs="仿宋_GB2312" w:eastAsia="仿宋_GB2312"/>
              </w:rPr>
              <w:t>磋商小组成员根据方案响应情况进行综合评审，酌情打分，本项满分7分。存在瑕疵或不足的以0.5分为单位进行扣减，扣完为止；无此项内容不得分。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质量管理措施</w:t>
            </w:r>
          </w:p>
        </w:tc>
      </w:tr>
      <w:tr>
        <w:tc>
          <w:tcPr>
            <w:tcW w:type="dxa" w:w="831"/>
            <w:vMerge/>
          </w:tcPr>
          <w:p/>
        </w:tc>
        <w:tc>
          <w:tcPr>
            <w:tcW w:type="dxa" w:w="1661"/>
          </w:tcPr>
          <w:p>
            <w:pPr>
              <w:pStyle w:val="null5"/>
            </w:pPr>
            <w:r>
              <w:rPr>
                <w:rFonts w:ascii="仿宋_GB2312" w:hAnsi="仿宋_GB2312" w:cs="仿宋_GB2312" w:eastAsia="仿宋_GB2312"/>
              </w:rPr>
              <w:t>风险控制方案</w:t>
            </w:r>
          </w:p>
        </w:tc>
        <w:tc>
          <w:tcPr>
            <w:tcW w:type="dxa" w:w="2575"/>
          </w:tcPr>
          <w:p>
            <w:pPr>
              <w:pStyle w:val="null5"/>
            </w:pPr>
            <w:r>
              <w:rPr>
                <w:rFonts w:ascii="仿宋_GB2312" w:hAnsi="仿宋_GB2312" w:cs="仿宋_GB2312" w:eastAsia="仿宋_GB2312"/>
              </w:rPr>
              <w:t>磋商小组成员根据方案响应情况进行综合评审，酌情打分，本项满分7分。存在瑕疵或不足的以0.5分为单位进行扣减，扣完为止；无此项内容不得分。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风险控制方案</w:t>
            </w:r>
          </w:p>
        </w:tc>
      </w:tr>
      <w:tr>
        <w:tc>
          <w:tcPr>
            <w:tcW w:type="dxa" w:w="831"/>
            <w:vMerge/>
          </w:tcPr>
          <w:p/>
        </w:tc>
        <w:tc>
          <w:tcPr>
            <w:tcW w:type="dxa" w:w="1661"/>
          </w:tcPr>
          <w:p>
            <w:pPr>
              <w:pStyle w:val="null5"/>
            </w:pPr>
            <w:r>
              <w:rPr>
                <w:rFonts w:ascii="仿宋_GB2312" w:hAnsi="仿宋_GB2312" w:cs="仿宋_GB2312" w:eastAsia="仿宋_GB2312"/>
              </w:rPr>
              <w:t>应急处理方案</w:t>
            </w:r>
          </w:p>
        </w:tc>
        <w:tc>
          <w:tcPr>
            <w:tcW w:type="dxa" w:w="2575"/>
          </w:tcPr>
          <w:p>
            <w:pPr>
              <w:pStyle w:val="null5"/>
            </w:pPr>
            <w:r>
              <w:rPr>
                <w:rFonts w:ascii="仿宋_GB2312" w:hAnsi="仿宋_GB2312" w:cs="仿宋_GB2312" w:eastAsia="仿宋_GB2312"/>
              </w:rPr>
              <w:t>磋商小组成员根据方案响应情况进行综合评审，酌情打分，本项满分7分。存在瑕疵或不足的以0.5分为单位进行扣减，扣完为止；无此项内容不得分。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应急处理方案</w:t>
            </w:r>
          </w:p>
        </w:tc>
      </w:tr>
      <w:tr>
        <w:tc>
          <w:tcPr>
            <w:tcW w:type="dxa" w:w="831"/>
            <w:vMerge/>
          </w:tcPr>
          <w:p/>
        </w:tc>
        <w:tc>
          <w:tcPr>
            <w:tcW w:type="dxa" w:w="1661"/>
          </w:tcPr>
          <w:p>
            <w:pPr>
              <w:pStyle w:val="null5"/>
            </w:pPr>
            <w:r>
              <w:rPr>
                <w:rFonts w:ascii="仿宋_GB2312" w:hAnsi="仿宋_GB2312" w:cs="仿宋_GB2312" w:eastAsia="仿宋_GB2312"/>
              </w:rPr>
              <w:t>培训及技术支持方案</w:t>
            </w:r>
          </w:p>
        </w:tc>
        <w:tc>
          <w:tcPr>
            <w:tcW w:type="dxa" w:w="2575"/>
          </w:tcPr>
          <w:p>
            <w:pPr>
              <w:pStyle w:val="null5"/>
            </w:pPr>
            <w:r>
              <w:rPr>
                <w:rFonts w:ascii="仿宋_GB2312" w:hAnsi="仿宋_GB2312" w:cs="仿宋_GB2312" w:eastAsia="仿宋_GB2312"/>
              </w:rPr>
              <w:t>磋商小组成员根据方案响应情况进行综合评审，酌情打分，本项满分7分。存在瑕疵或不足的以0.5分为单位进行扣减，扣完为止；无此项内容不得分。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7.0000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培训及技术支持方案</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售后服务能力与承诺</w:t>
            </w:r>
          </w:p>
        </w:tc>
        <w:tc>
          <w:tcPr>
            <w:tcW w:type="dxa" w:w="2575"/>
          </w:tcPr>
          <w:p>
            <w:pPr>
              <w:pStyle w:val="null5"/>
            </w:pPr>
            <w:r>
              <w:rPr>
                <w:rFonts w:ascii="仿宋_GB2312" w:hAnsi="仿宋_GB2312" w:cs="仿宋_GB2312" w:eastAsia="仿宋_GB2312"/>
              </w:rPr>
              <w:t>（1）故障支持与解决：1分 供应商提供7×24小时（全天候）响应，接到故障通知后在12小时内到达并解决故障，得1分；供应商提供7×24小时（全天候）响应，接到故障通知后在18小时内到达并解决故障，得0.5分。 （2）供应商承诺所投产品（设备）整体系统质量免费保修（包括人工和部件）、上门服务年限均为4年（含）以上，得1分，否则不得分。 （3）供应商为采购人专门建立备品、备件库，设备（软件）出现故障，需要返厂维修时，提供备品备件的，得1分；否则不得分。 （4）供应商承诺在成交后，提供至少5人到采购人指定地点进行至少3天相关设备使用培训，得1分；供应商承诺在中标后，提供至少3人到采购人指定地点进行至少3天相关设备使用培训，得0.5分；本项最高得1分。不承诺设备使用培训的，不得分。 以上售后服务承诺须按磋商文件编制要求全部编制在响应文件中并加盖供应商电子签章，否则评委不予计分。</w:t>
            </w:r>
          </w:p>
        </w:tc>
        <w:tc>
          <w:tcPr>
            <w:tcW w:type="dxa" w:w="831"/>
          </w:tcPr>
          <w:p>
            <w:pPr>
              <w:pStyle w:val="null5"/>
              <w:jc w:val="center"/>
            </w:pPr>
            <w:r>
              <w:rPr>
                <w:rFonts w:ascii="仿宋_GB2312" w:hAnsi="仿宋_GB2312" w:cs="仿宋_GB2312" w:eastAsia="仿宋_GB2312"/>
              </w:rPr>
              <w:t>4.0000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售后服务能力与承诺</w:t>
            </w:r>
          </w:p>
        </w:tc>
      </w:tr>
      <w:tr>
        <w:tc>
          <w:tcPr>
            <w:tcW w:type="dxa" w:w="831"/>
            <w:vMerge/>
          </w:tcP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自2023年1月1日以来（以合同签订日期为准）承担或完成的类似业绩（类似业绩是指：技术性能与本项目采购需求相同或类似），每提供一项得1分，本项最高得3分。[注：以上打分以单个采购合同为准，不重复累计；得分以该项最高得分为准，不重复加分] 类似业绩必须同时提供以下材料否则不得分：①采购合同扫描件②验收证明材料。 以上资料中所涉及的项目名称、采购内容、合同金额应相符，否则，磋商小组一律不予认可。提供资料不全或不符合磋商文件要求的，磋商一律不予认可。 供应商提供的以上业绩资料扫描件须按磋商文件编制要求全部编制在响应文件中并加盖供应商电子签章。评标时由磋商小组进行评审，否则一律不予认可。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业绩一览表及证明材料</w:t>
            </w:r>
          </w:p>
        </w:tc>
      </w:tr>
      <w:tr>
        <w:tc>
          <w:tcPr>
            <w:tcW w:type="dxa" w:w="831"/>
            <w:vMerge/>
          </w:tcPr>
          <w:p/>
        </w:tc>
        <w:tc>
          <w:tcPr>
            <w:tcW w:type="dxa" w:w="1661"/>
          </w:tcPr>
          <w:p>
            <w:pPr>
              <w:pStyle w:val="null5"/>
            </w:pPr>
            <w:r>
              <w:rPr>
                <w:rFonts w:ascii="仿宋_GB2312" w:hAnsi="仿宋_GB2312" w:cs="仿宋_GB2312" w:eastAsia="仿宋_GB2312"/>
              </w:rPr>
              <w:t>全生命周期成本</w:t>
            </w:r>
          </w:p>
        </w:tc>
        <w:tc>
          <w:tcPr>
            <w:tcW w:type="dxa" w:w="2575"/>
          </w:tcPr>
          <w:p>
            <w:pPr>
              <w:pStyle w:val="null5"/>
            </w:pPr>
            <w:r>
              <w:rPr>
                <w:rFonts w:ascii="仿宋_GB2312" w:hAnsi="仿宋_GB2312" w:cs="仿宋_GB2312" w:eastAsia="仿宋_GB2312"/>
              </w:rPr>
              <w:t>对成本构成、金额及计算依据等全生命周期成本进行评价，本项最高得3分。每有一处瑕疵或不完善扣0.5分，扣完为止，缺项不得分。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项目全生命周期成分分析</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（1）地层孔隙热压生排烃模拟实验仪响应报价低于全部通过符合性审查供应商响应报价平均值50%的，即地层孔隙热压生排烃模拟实验仪响应报价&lt;全部通过符合性审查供应商响应报价平均值×50%。 （2）地层孔隙热压生排烃模拟实验仪响应报价低于通过符合性审查且报价次低供应商响应报价50%的，即地层孔隙热压生排烃模拟实验仪响应报价&lt;通过符合性审查且报价次低供应商响应报价×50%。 （3）地层孔隙热压生排烃模拟实验仪响应报价低于最高限价45%的，即地层孔隙热压生排烃模拟实验仪响应报价&lt;最高限价×45%。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投标人可根据以上规定提前备好说明和证明材料，以备及时提交磋商小组。</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开标（报价）一览表</w:t>
            </w:r>
          </w:p>
          <w:p>
            <w:pPr>
              <w:pStyle w:val="null5"/>
            </w:pPr>
            <w:r>
              <w:rPr>
                <w:rFonts w:ascii="仿宋_GB2312" w:hAnsi="仿宋_GB2312" w:cs="仿宋_GB2312" w:eastAsia="仿宋_GB2312"/>
              </w:rPr>
              <w:t>投标（响应）报价明细表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采购人在评标办法中确定价格分值占总分值的比重（权重）为40%（即价格权值为40%）。本采购项目按照低价优先法计算报价得分，即满足磋商文件要求且磋商价格最低的磋商报价为磋商基准价，其价格分为满分。其他供应商的价格分值统一按照下列公式计算：磋商报价得分=（磋商基准价/磋商报价）×价格权值×100。供应商磋商报价得分按“四舍五入”精确到小数点后两位。磋商报价最高限价与评标基准价之间为投标报价有效范围</w:t>
            </w:r>
          </w:p>
        </w:tc>
        <w:tc>
          <w:tcPr>
            <w:tcW w:type="dxa" w:w="831"/>
          </w:tcPr>
          <w:p>
            <w:pPr>
              <w:pStyle w:val="null5"/>
              <w:jc w:val="center"/>
            </w:pPr>
            <w:r>
              <w:rPr>
                <w:rFonts w:ascii="仿宋_GB2312" w:hAnsi="仿宋_GB2312" w:cs="仿宋_GB2312" w:eastAsia="仿宋_GB2312"/>
              </w:rPr>
              <w:t>40.0000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附加分</w:t>
            </w:r>
          </w:p>
        </w:tc>
        <w:tc>
          <w:tcPr>
            <w:tcW w:type="dxa" w:w="1661"/>
          </w:tcPr>
          <w:p>
            <w:pPr>
              <w:pStyle w:val="null5"/>
            </w:pPr>
            <w:r>
              <w:rPr>
                <w:rFonts w:ascii="仿宋_GB2312" w:hAnsi="仿宋_GB2312" w:cs="仿宋_GB2312" w:eastAsia="仿宋_GB2312"/>
              </w:rPr>
              <w:t>节能环保政策</w:t>
            </w:r>
          </w:p>
        </w:tc>
        <w:tc>
          <w:tcPr>
            <w:tcW w:type="dxa" w:w="2575"/>
          </w:tcPr>
          <w:p>
            <w:pPr>
              <w:pStyle w:val="null5"/>
            </w:pPr>
            <w:r>
              <w:rPr>
                <w:rFonts w:ascii="仿宋_GB2312" w:hAnsi="仿宋_GB2312" w:cs="仿宋_GB2312" w:eastAsia="仿宋_GB2312"/>
              </w:rPr>
              <w:t>1.若响应的货物为品⽬清单内的节能或环境标志产品（不含品⽬清单强制采购范围产品），在其报价分值基础上分别根据节能或环境标志产品占最后总报价相应⽐例加分，计算公式如下：报价部分加分=【（节能产品报价＋环境标志产品报价）/总报价】×价格评审总分值40×5%。 2.若响应的货物为品⽬清单内的节能或环境标志产品（不含品⽬清单强制采购范围产品），在其技术分值基础上分别根据节能或环境标志产品占最后总报价相应⽐例加分，计算公式如下：技术部分加分=【（节能产品报价＋环境标志产品报价）/总报价】×技术评审总分值50×5%</w:t>
            </w:r>
          </w:p>
        </w:tc>
        <w:tc>
          <w:tcPr>
            <w:tcW w:type="dxa" w:w="831"/>
          </w:tcPr>
          <w:p>
            <w:pPr>
              <w:pStyle w:val="null5"/>
              <w:jc w:val="center"/>
            </w:pPr>
            <w:r>
              <w:rPr>
                <w:rFonts w:ascii="仿宋_GB2312" w:hAnsi="仿宋_GB2312" w:cs="仿宋_GB2312" w:eastAsia="仿宋_GB2312"/>
              </w:rPr>
              <w:t>9.0000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节能环保政策</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本国产品相关价格扣除： 根据《国务院办公厅关于在政府采购中实施本国产品标准及相关政策的通知》（国办发〔2025〕34号）的规定： （1）当采购项目或者采购包中为单一产品时：投标人对其提供的产品出具符合要求的《关于符合本国产品标准的声明函》（格式详见附件）或财政部会同有关部门规定的有关证明文件的，该产品视为本国产品，对本国产品的报价给予20%的价格扣除，用扣除后的价格参与评审。 （2）当采购项目或者采购包中为多种产品时：投标人为该采购项目或者采购包提供的符合本国产品标准的产品成本之和占该投标人提供的全部产品成本之和的比例达到80%（以提供产品成本占比承诺函为准）以上且投标人其提供的本国产品出具符合要求的《关于符合本国产品标准的声明函》（格式详见附件）或财政部会同有关部门规定的有关证明文件的，依法对该投标人提供的全部产品给予价格评审优惠，即对该投标人提供的全部产品的总报价给予20%的价格扣除，用扣除后的价格参与评审。 注：（1）相关价格评审扣除优惠，均应该在投标人原始报价基础上计算。（2）下列产品不适用本国产品标准：房屋和构筑物；文物、陈列品、图书、档案；特种动植物；农林牧渔初级产品；矿与矿物；电力、燃气、热力、水；食品、饮料及烟草原料；无形资产。（3）仅有本国产品参与竞争的政府采购项目，不执行价格扣除。</w:t>
            </w:r>
          </w:p>
        </w:tc>
        <w:tc>
          <w:tcPr>
            <w:tcW w:type="dxa" w:w="1910"/>
          </w:tcPr>
          <w:p>
            <w:pPr>
              <w:pStyle w:val="null5"/>
              <w:jc w:val="left"/>
            </w:pPr>
            <w:r>
              <w:rPr>
                <w:rFonts w:ascii="仿宋_GB2312" w:hAnsi="仿宋_GB2312" w:cs="仿宋_GB2312" w:eastAsia="仿宋_GB2312"/>
              </w:rPr>
              <w:t>关于符合本国产品标准的声明函、产品成本占比承诺函</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（1）地层孔隙热压生排烃模拟实验仪响应报价低于全部通过符合性审查供应商响应报价平均值50%的，即地层孔隙热压生排烃模拟实验仪响应报价&lt;全部通过符合性审查供应商响应报价平均值×50%。</w:t>
              <w:br/>
              <w:t>（2）地层孔隙热压生排烃模拟实验仪响应报价低于通过符合性审查且报价次低供应商响应报价50%的，即地层孔隙热压生排烃模拟实验仪响应报价&lt;通过符合性审查且报价次低供应商响应报价×50%。</w:t>
              <w:br/>
              <w:t>（3）地层孔隙热压生排烃模拟实验仪响应报价低于最高限价45%的，即地层孔隙热压生排烃模拟实验仪响应报价&lt;最高限价×45%。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磋商小组启动异常低价投标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投标人的合理时间一般不少于30分钟。其中，属于第3项情形，投标人已随投标文件一并提交相关书面说明及必要的证明材料的，在评审现场可不再重复提交。 磋商小组依据专业经验，参考同类项目中标价格、类似产品市场价格水平、行业人工费用标准、国家有关部门指导行业协会发布的行业平均成本等情况，对报价合理性进行判断。投标人不能提供书面说明、证明材料，或者提供的书面说明、证明材料不能证明其报价合理性的，磋商小组应当将其作为无效投标处理。 书面说明及必要的证明材料应包含：①提供销售发票、合同或其他证明材料等以证明投标人的报价及执行情况；②成本构成。包含项目内容的本身成本、人工费、拟配备设备及材料费、税金等所有费用的说明。 投标人可根据以上规定提前备好说明和证明材料，以备及时提交磋商小组。</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其他仪器仪表</w:t>
            </w:r>
          </w:p>
        </w:tc>
        <w:tc>
          <w:tcPr>
            <w:tcW w:type="dxa" w:w="3115"/>
          </w:tcPr>
          <w:p>
            <w:pPr>
              <w:pStyle w:val="null5"/>
              <w:jc w:val="left"/>
            </w:pPr>
            <w:r>
              <w:rPr>
                <w:rFonts w:ascii="仿宋_GB2312" w:hAnsi="仿宋_GB2312" w:cs="仿宋_GB2312" w:eastAsia="仿宋_GB2312"/>
              </w:rPr>
              <w:t>地层孔隙热压生排烃模拟实验仪</w:t>
            </w:r>
          </w:p>
        </w:tc>
        <w:tc>
          <w:tcPr>
            <w:tcW w:type="dxa" w:w="2076"/>
          </w:tcPr>
          <w:p>
            <w:pPr>
              <w:pStyle w:val="null5"/>
              <w:jc w:val="left"/>
            </w:pPr>
            <w:r>
              <w:rPr>
                <w:rFonts w:ascii="仿宋_GB2312" w:hAnsi="仿宋_GB2312" w:cs="仿宋_GB2312" w:eastAsia="仿宋_GB2312"/>
              </w:rPr>
              <w:t>地层孔隙热压生排烃模拟实验仪</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详见附件：供货方案、产品安装和调试方案</w:t>
      </w:r>
    </w:p>
    <w:p>
      <w:pPr>
        <w:pStyle w:val="null5"/>
        <w:ind w:firstLine="960"/>
        <w:jc w:val="left"/>
      </w:pPr>
      <w:r>
        <w:rPr>
          <w:rFonts w:ascii="仿宋_GB2312" w:hAnsi="仿宋_GB2312" w:cs="仿宋_GB2312" w:eastAsia="仿宋_GB2312"/>
        </w:rPr>
        <w:t>详见附件：产品均为原厂正品承诺函</w:t>
      </w:r>
    </w:p>
    <w:p>
      <w:pPr>
        <w:pStyle w:val="null5"/>
        <w:ind w:firstLine="960"/>
        <w:jc w:val="left"/>
      </w:pPr>
      <w:r>
        <w:rPr>
          <w:rFonts w:ascii="仿宋_GB2312" w:hAnsi="仿宋_GB2312" w:cs="仿宋_GB2312" w:eastAsia="仿宋_GB2312"/>
        </w:rPr>
        <w:t>详见附件：不参与串通投标承诺书</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详见附件：法定代表人身份证明、法定代表人授权委托书</w:t>
      </w:r>
    </w:p>
    <w:p>
      <w:pPr>
        <w:pStyle w:val="null5"/>
        <w:ind w:firstLine="960"/>
        <w:jc w:val="left"/>
      </w:pPr>
      <w:r>
        <w:rPr>
          <w:rFonts w:ascii="仿宋_GB2312" w:hAnsi="仿宋_GB2312" w:cs="仿宋_GB2312" w:eastAsia="仿宋_GB2312"/>
        </w:rPr>
        <w:t>详见附件：供应商认为需要提交的其他文件</w:t>
      </w:r>
    </w:p>
    <w:p>
      <w:pPr>
        <w:pStyle w:val="null5"/>
        <w:ind w:firstLine="960"/>
        <w:jc w:val="left"/>
      </w:pPr>
      <w:r>
        <w:rPr>
          <w:rFonts w:ascii="仿宋_GB2312" w:hAnsi="仿宋_GB2312" w:cs="仿宋_GB2312" w:eastAsia="仿宋_GB2312"/>
        </w:rPr>
        <w:t>详见附件：售后服务能力与承诺</w:t>
      </w:r>
    </w:p>
    <w:p>
      <w:pPr>
        <w:pStyle w:val="null5"/>
        <w:ind w:firstLine="960"/>
        <w:jc w:val="left"/>
      </w:pPr>
      <w:r>
        <w:rPr>
          <w:rFonts w:ascii="仿宋_GB2312" w:hAnsi="仿宋_GB2312" w:cs="仿宋_GB2312" w:eastAsia="仿宋_GB2312"/>
        </w:rPr>
        <w:t>详见附件：关于符合本国产品标准的声明函、产品成本占比承诺函</w:t>
      </w:r>
    </w:p>
    <w:p>
      <w:pPr>
        <w:pStyle w:val="null5"/>
        <w:ind w:firstLine="960"/>
        <w:jc w:val="left"/>
      </w:pPr>
      <w:r>
        <w:rPr>
          <w:rFonts w:ascii="仿宋_GB2312" w:hAnsi="仿宋_GB2312" w:cs="仿宋_GB2312" w:eastAsia="仿宋_GB2312"/>
        </w:rPr>
        <w:t>详见附件：货物清单（包括产品彩页等）</w:t>
      </w:r>
    </w:p>
    <w:p>
      <w:pPr>
        <w:pStyle w:val="null5"/>
        <w:ind w:firstLine="960"/>
        <w:jc w:val="left"/>
      </w:pPr>
      <w:r>
        <w:rPr>
          <w:rFonts w:ascii="仿宋_GB2312" w:hAnsi="仿宋_GB2312" w:cs="仿宋_GB2312" w:eastAsia="仿宋_GB2312"/>
        </w:rPr>
        <w:t>详见附件：资格证明文件</w:t>
      </w:r>
    </w:p>
    <w:p>
      <w:pPr>
        <w:pStyle w:val="null5"/>
        <w:ind w:firstLine="960"/>
        <w:jc w:val="left"/>
      </w:pPr>
      <w:r>
        <w:rPr>
          <w:rFonts w:ascii="仿宋_GB2312" w:hAnsi="仿宋_GB2312" w:cs="仿宋_GB2312" w:eastAsia="仿宋_GB2312"/>
        </w:rPr>
        <w:t>详见附件：节能环保政策</w:t>
      </w:r>
    </w:p>
    <w:p>
      <w:pPr>
        <w:pStyle w:val="null5"/>
        <w:ind w:firstLine="960"/>
        <w:jc w:val="left"/>
      </w:pPr>
      <w:r>
        <w:rPr>
          <w:rFonts w:ascii="仿宋_GB2312" w:hAnsi="仿宋_GB2312" w:cs="仿宋_GB2312" w:eastAsia="仿宋_GB2312"/>
        </w:rPr>
        <w:t>详见附件：培训及技术支持方案</w:t>
      </w:r>
    </w:p>
    <w:p>
      <w:pPr>
        <w:pStyle w:val="null5"/>
        <w:ind w:firstLine="960"/>
        <w:jc w:val="left"/>
      </w:pPr>
      <w:r>
        <w:rPr>
          <w:rFonts w:ascii="仿宋_GB2312" w:hAnsi="仿宋_GB2312" w:cs="仿宋_GB2312" w:eastAsia="仿宋_GB2312"/>
        </w:rPr>
        <w:t>详见附件：企业基本概况</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详见附件：风险控制方案</w:t>
      </w:r>
    </w:p>
    <w:p>
      <w:pPr>
        <w:pStyle w:val="null5"/>
        <w:ind w:firstLine="960"/>
        <w:jc w:val="left"/>
      </w:pPr>
      <w:r>
        <w:rPr>
          <w:rFonts w:ascii="仿宋_GB2312" w:hAnsi="仿宋_GB2312" w:cs="仿宋_GB2312" w:eastAsia="仿宋_GB2312"/>
        </w:rPr>
        <w:t>详见附件：响应函</w:t>
      </w:r>
    </w:p>
    <w:p>
      <w:pPr>
        <w:pStyle w:val="null5"/>
        <w:ind w:firstLine="960"/>
        <w:jc w:val="left"/>
      </w:pPr>
      <w:r>
        <w:rPr>
          <w:rFonts w:ascii="仿宋_GB2312" w:hAnsi="仿宋_GB2312" w:cs="仿宋_GB2312" w:eastAsia="仿宋_GB2312"/>
        </w:rPr>
        <w:t>详见附件：项目全生命周期成分分析</w:t>
      </w:r>
    </w:p>
    <w:p>
      <w:pPr>
        <w:pStyle w:val="null5"/>
        <w:ind w:firstLine="960"/>
        <w:jc w:val="left"/>
      </w:pPr>
      <w:r>
        <w:rPr>
          <w:rFonts w:ascii="仿宋_GB2312" w:hAnsi="仿宋_GB2312" w:cs="仿宋_GB2312" w:eastAsia="仿宋_GB2312"/>
        </w:rPr>
        <w:t>详见附件：业绩一览表及证明材料</w:t>
      </w:r>
    </w:p>
    <w:p>
      <w:pPr>
        <w:pStyle w:val="null5"/>
        <w:ind w:firstLine="960"/>
        <w:jc w:val="left"/>
      </w:pPr>
      <w:r>
        <w:rPr>
          <w:rFonts w:ascii="仿宋_GB2312" w:hAnsi="仿宋_GB2312" w:cs="仿宋_GB2312" w:eastAsia="仿宋_GB2312"/>
        </w:rPr>
        <w:t>详见附件：应急处理方案</w:t>
      </w:r>
    </w:p>
    <w:p>
      <w:pPr>
        <w:pStyle w:val="null5"/>
        <w:ind w:firstLine="960"/>
        <w:jc w:val="left"/>
      </w:pPr>
      <w:r>
        <w:rPr>
          <w:rFonts w:ascii="仿宋_GB2312" w:hAnsi="仿宋_GB2312" w:cs="仿宋_GB2312" w:eastAsia="仿宋_GB2312"/>
        </w:rPr>
        <w:t>详见附件：质量管理措施</w:t>
      </w:r>
    </w:p>
    <w:p>
      <w:pPr>
        <w:pStyle w:val="null5"/>
        <w:ind w:firstLine="960"/>
        <w:jc w:val="left"/>
      </w:pPr>
      <w:r>
        <w:rPr>
          <w:rFonts w:ascii="仿宋_GB2312" w:hAnsi="仿宋_GB2312" w:cs="仿宋_GB2312" w:eastAsia="仿宋_GB2312"/>
        </w:rPr>
        <w:t>详见附件：中小企业声明函、监狱企业证明函、残疾人福利性单位声明函</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详见附件：政府采购履约验收书参考样本、山东省政府采购合同范本.docx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